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1402F" w14:textId="77777777" w:rsidR="00362003" w:rsidRDefault="00362003" w:rsidP="00E83B3D">
      <w:pPr>
        <w:spacing w:line="480" w:lineRule="auto"/>
        <w:jc w:val="center"/>
        <w:rPr>
          <w:b/>
          <w:sz w:val="28"/>
          <w:szCs w:val="28"/>
        </w:rPr>
      </w:pPr>
    </w:p>
    <w:p w14:paraId="10281927" w14:textId="77777777" w:rsidR="00362003" w:rsidRDefault="00362003" w:rsidP="00E83B3D">
      <w:pPr>
        <w:spacing w:line="480" w:lineRule="auto"/>
        <w:jc w:val="center"/>
        <w:rPr>
          <w:b/>
          <w:sz w:val="28"/>
          <w:szCs w:val="28"/>
        </w:rPr>
      </w:pPr>
    </w:p>
    <w:p w14:paraId="6D59AAFB" w14:textId="3F780611" w:rsidR="00362003" w:rsidRDefault="00F42152" w:rsidP="00E83B3D">
      <w:pPr>
        <w:spacing w:line="480" w:lineRule="auto"/>
        <w:jc w:val="center"/>
        <w:rPr>
          <w:b/>
          <w:sz w:val="28"/>
          <w:szCs w:val="28"/>
        </w:rPr>
      </w:pPr>
      <w:r>
        <w:rPr>
          <w:b/>
          <w:sz w:val="28"/>
          <w:szCs w:val="28"/>
        </w:rPr>
        <w:t xml:space="preserve">Development of a Rapid Response Capability to Evaluate Causes of Extreme </w:t>
      </w:r>
      <w:r w:rsidR="00D8186B">
        <w:rPr>
          <w:b/>
          <w:sz w:val="28"/>
          <w:szCs w:val="28"/>
        </w:rPr>
        <w:t>Temperature and Drought</w:t>
      </w:r>
      <w:r>
        <w:rPr>
          <w:b/>
          <w:sz w:val="28"/>
          <w:szCs w:val="28"/>
        </w:rPr>
        <w:t xml:space="preserve"> Events</w:t>
      </w:r>
      <w:r w:rsidR="00AA6488">
        <w:rPr>
          <w:b/>
          <w:sz w:val="28"/>
          <w:szCs w:val="28"/>
        </w:rPr>
        <w:t xml:space="preserve"> </w:t>
      </w:r>
      <w:r w:rsidR="00D8186B">
        <w:rPr>
          <w:b/>
          <w:sz w:val="28"/>
          <w:szCs w:val="28"/>
        </w:rPr>
        <w:t>in</w:t>
      </w:r>
      <w:r w:rsidR="00AA6488">
        <w:rPr>
          <w:b/>
          <w:sz w:val="28"/>
          <w:szCs w:val="28"/>
        </w:rPr>
        <w:t xml:space="preserve"> the United States</w:t>
      </w:r>
    </w:p>
    <w:p w14:paraId="240159C5" w14:textId="77777777" w:rsidR="00362003" w:rsidRDefault="00F42152" w:rsidP="00E83B3D">
      <w:pPr>
        <w:spacing w:line="480" w:lineRule="auto"/>
      </w:pPr>
      <w:r>
        <w:t xml:space="preserve"> </w:t>
      </w:r>
    </w:p>
    <w:p w14:paraId="62DD9456" w14:textId="77777777" w:rsidR="00362003" w:rsidRDefault="00362003" w:rsidP="00E83B3D">
      <w:pPr>
        <w:spacing w:line="480" w:lineRule="auto"/>
      </w:pPr>
    </w:p>
    <w:p w14:paraId="699082CD" w14:textId="70FC6B39" w:rsidR="00362003" w:rsidRPr="008E3917" w:rsidRDefault="00F42152" w:rsidP="00E83B3D">
      <w:pPr>
        <w:spacing w:line="480" w:lineRule="auto"/>
        <w:jc w:val="center"/>
      </w:pPr>
      <w:r>
        <w:t xml:space="preserve">Joseph J. </w:t>
      </w:r>
      <w:proofErr w:type="spellStart"/>
      <w:r>
        <w:t>Barsugli</w:t>
      </w:r>
      <w:r w:rsidR="00E83B3D">
        <w:rPr>
          <w:vertAlign w:val="superscript"/>
        </w:rPr>
        <w:t>a.b</w:t>
      </w:r>
      <w:proofErr w:type="spellEnd"/>
      <w:r>
        <w:t xml:space="preserve"> David R. </w:t>
      </w:r>
      <w:proofErr w:type="spellStart"/>
      <w:r w:rsidR="00E83B3D">
        <w:t>Easterling</w:t>
      </w:r>
      <w:r w:rsidR="00E83B3D">
        <w:rPr>
          <w:vertAlign w:val="superscript"/>
        </w:rPr>
        <w:t>c</w:t>
      </w:r>
      <w:proofErr w:type="spellEnd"/>
      <w:r>
        <w:t xml:space="preserve">, Derek S. </w:t>
      </w:r>
      <w:proofErr w:type="spellStart"/>
      <w:r w:rsidR="00E83B3D">
        <w:t>Arndt</w:t>
      </w:r>
      <w:r w:rsidR="00E83B3D">
        <w:rPr>
          <w:vertAlign w:val="superscript"/>
        </w:rPr>
        <w:t>c</w:t>
      </w:r>
      <w:proofErr w:type="spellEnd"/>
      <w:r>
        <w:t xml:space="preserve">, </w:t>
      </w:r>
      <w:r w:rsidR="009D7CE7">
        <w:t xml:space="preserve">David A. </w:t>
      </w:r>
      <w:proofErr w:type="spellStart"/>
      <w:r w:rsidR="00E83B3D">
        <w:t>Coates</w:t>
      </w:r>
      <w:r w:rsidR="00E83B3D">
        <w:rPr>
          <w:vertAlign w:val="superscript"/>
        </w:rPr>
        <w:t>d</w:t>
      </w:r>
      <w:proofErr w:type="spellEnd"/>
      <w:r w:rsidR="009D7CE7">
        <w:t xml:space="preserve">, </w:t>
      </w:r>
      <w:r>
        <w:t xml:space="preserve">Thomas L. </w:t>
      </w:r>
      <w:proofErr w:type="spellStart"/>
      <w:r w:rsidR="00E83B3D">
        <w:t>Delworth</w:t>
      </w:r>
      <w:r w:rsidR="00E83B3D">
        <w:rPr>
          <w:vertAlign w:val="superscript"/>
        </w:rPr>
        <w:t>e</w:t>
      </w:r>
      <w:proofErr w:type="spellEnd"/>
      <w:r>
        <w:t xml:space="preserve">, Martin P. </w:t>
      </w:r>
      <w:proofErr w:type="spellStart"/>
      <w:r w:rsidR="00E83B3D">
        <w:t>Hoerling</w:t>
      </w:r>
      <w:r w:rsidR="00E83B3D">
        <w:rPr>
          <w:vertAlign w:val="superscript"/>
        </w:rPr>
        <w:t>b</w:t>
      </w:r>
      <w:proofErr w:type="spellEnd"/>
      <w:r>
        <w:t>,</w:t>
      </w:r>
      <w:r w:rsidR="008118BA">
        <w:t xml:space="preserve"> Nathaniel </w:t>
      </w:r>
      <w:proofErr w:type="spellStart"/>
      <w:r w:rsidR="00E83B3D">
        <w:t>Johnson</w:t>
      </w:r>
      <w:r w:rsidR="00E83B3D">
        <w:rPr>
          <w:vertAlign w:val="superscript"/>
        </w:rPr>
        <w:t>c</w:t>
      </w:r>
      <w:proofErr w:type="spellEnd"/>
      <w:r w:rsidR="008118BA">
        <w:t xml:space="preserve">, </w:t>
      </w:r>
      <w:r>
        <w:t xml:space="preserve">Sarah B. </w:t>
      </w:r>
      <w:proofErr w:type="spellStart"/>
      <w:r w:rsidR="00E83B3D">
        <w:t>Kapnick</w:t>
      </w:r>
      <w:r w:rsidR="00E83B3D">
        <w:rPr>
          <w:vertAlign w:val="superscript"/>
        </w:rPr>
        <w:t>e</w:t>
      </w:r>
      <w:proofErr w:type="spellEnd"/>
      <w:r>
        <w:t xml:space="preserve">, Arun </w:t>
      </w:r>
      <w:proofErr w:type="spellStart"/>
      <w:proofErr w:type="gramStart"/>
      <w:r w:rsidR="00E83B3D">
        <w:t>Kumar</w:t>
      </w:r>
      <w:r w:rsidR="00E83B3D">
        <w:rPr>
          <w:vertAlign w:val="superscript"/>
        </w:rPr>
        <w:t>f</w:t>
      </w:r>
      <w:proofErr w:type="spellEnd"/>
      <w:r w:rsidR="00E83B3D">
        <w:rPr>
          <w:vertAlign w:val="superscript"/>
        </w:rPr>
        <w:t xml:space="preserve"> </w:t>
      </w:r>
      <w:r>
        <w:t>,</w:t>
      </w:r>
      <w:proofErr w:type="gramEnd"/>
      <w:r>
        <w:t xml:space="preserve"> Kenneth E. </w:t>
      </w:r>
      <w:proofErr w:type="spellStart"/>
      <w:r w:rsidR="00E83B3D">
        <w:t>Kunkel</w:t>
      </w:r>
      <w:r w:rsidR="00E83B3D">
        <w:rPr>
          <w:vertAlign w:val="superscript"/>
        </w:rPr>
        <w:t>d</w:t>
      </w:r>
      <w:proofErr w:type="spellEnd"/>
      <w:r>
        <w:t>,</w:t>
      </w:r>
      <w:r>
        <w:rPr>
          <w:vertAlign w:val="superscript"/>
        </w:rPr>
        <w:t xml:space="preserve"> </w:t>
      </w:r>
      <w:r>
        <w:t xml:space="preserve">Carl J. </w:t>
      </w:r>
      <w:proofErr w:type="spellStart"/>
      <w:r w:rsidR="00E83B3D">
        <w:t>Schreck</w:t>
      </w:r>
      <w:r w:rsidR="00E83B3D">
        <w:rPr>
          <w:vertAlign w:val="superscript"/>
        </w:rPr>
        <w:t>d</w:t>
      </w:r>
      <w:proofErr w:type="spellEnd"/>
      <w:r w:rsidR="00E83B3D">
        <w:t xml:space="preserve"> </w:t>
      </w:r>
      <w:r>
        <w:t xml:space="preserve">, Russell S. </w:t>
      </w:r>
      <w:proofErr w:type="spellStart"/>
      <w:r w:rsidR="00E83B3D">
        <w:t>Vose</w:t>
      </w:r>
      <w:r w:rsidR="00E83B3D">
        <w:rPr>
          <w:vertAlign w:val="superscript"/>
        </w:rPr>
        <w:t>a</w:t>
      </w:r>
      <w:proofErr w:type="spellEnd"/>
      <w:r w:rsidR="008E3917">
        <w:t xml:space="preserve">, Tao </w:t>
      </w:r>
      <w:proofErr w:type="spellStart"/>
      <w:r w:rsidR="008E3917">
        <w:t>Zhang</w:t>
      </w:r>
      <w:r w:rsidR="00E83B3D">
        <w:rPr>
          <w:vertAlign w:val="superscript"/>
        </w:rPr>
        <w:t>f,g</w:t>
      </w:r>
      <w:proofErr w:type="spellEnd"/>
    </w:p>
    <w:p w14:paraId="77025DAC" w14:textId="77777777" w:rsidR="00362003" w:rsidRDefault="00362003" w:rsidP="00E83B3D">
      <w:pPr>
        <w:spacing w:line="480" w:lineRule="auto"/>
        <w:rPr>
          <w:vertAlign w:val="superscript"/>
        </w:rPr>
      </w:pPr>
    </w:p>
    <w:p w14:paraId="30D07D55" w14:textId="77777777" w:rsidR="00362003" w:rsidRDefault="00362003" w:rsidP="00E83B3D">
      <w:pPr>
        <w:spacing w:line="480" w:lineRule="auto"/>
        <w:rPr>
          <w:vertAlign w:val="superscript"/>
        </w:rPr>
      </w:pPr>
    </w:p>
    <w:p w14:paraId="6EB66D1D" w14:textId="089CF931" w:rsidR="009D7CE7" w:rsidRDefault="00E83B3D" w:rsidP="00E83B3D">
      <w:pPr>
        <w:spacing w:line="480" w:lineRule="auto"/>
        <w:jc w:val="center"/>
        <w:rPr>
          <w:i/>
          <w:sz w:val="20"/>
          <w:szCs w:val="20"/>
        </w:rPr>
      </w:pPr>
      <w:proofErr w:type="spellStart"/>
      <w:r>
        <w:rPr>
          <w:i/>
          <w:sz w:val="20"/>
          <w:szCs w:val="20"/>
          <w:vertAlign w:val="superscript"/>
        </w:rPr>
        <w:t>a</w:t>
      </w:r>
      <w:r>
        <w:rPr>
          <w:i/>
          <w:sz w:val="20"/>
          <w:szCs w:val="20"/>
        </w:rPr>
        <w:t>CIRES</w:t>
      </w:r>
      <w:proofErr w:type="spellEnd"/>
      <w:r w:rsidR="009D7CE7">
        <w:rPr>
          <w:i/>
          <w:sz w:val="20"/>
          <w:szCs w:val="20"/>
        </w:rPr>
        <w:t>, Univ. of Colorado Boulder, Boulder, CO</w:t>
      </w:r>
    </w:p>
    <w:p w14:paraId="5B2A532A" w14:textId="58B719BB" w:rsidR="009D7CE7" w:rsidRDefault="00E83B3D" w:rsidP="00E83B3D">
      <w:pPr>
        <w:spacing w:line="480" w:lineRule="auto"/>
        <w:jc w:val="center"/>
        <w:rPr>
          <w:i/>
          <w:sz w:val="20"/>
          <w:szCs w:val="20"/>
        </w:rPr>
      </w:pPr>
      <w:proofErr w:type="spellStart"/>
      <w:r>
        <w:rPr>
          <w:i/>
          <w:sz w:val="20"/>
          <w:szCs w:val="20"/>
          <w:vertAlign w:val="superscript"/>
        </w:rPr>
        <w:t>b</w:t>
      </w:r>
      <w:r>
        <w:rPr>
          <w:i/>
          <w:sz w:val="20"/>
          <w:szCs w:val="20"/>
        </w:rPr>
        <w:t>NOAA</w:t>
      </w:r>
      <w:proofErr w:type="spellEnd"/>
      <w:r w:rsidR="009D7CE7">
        <w:rPr>
          <w:i/>
          <w:sz w:val="20"/>
          <w:szCs w:val="20"/>
        </w:rPr>
        <w:t>/Physical Sciences Laboratory, Boulder, CO</w:t>
      </w:r>
    </w:p>
    <w:p w14:paraId="4964E472" w14:textId="0965DE4D" w:rsidR="00362003" w:rsidRDefault="00E83B3D" w:rsidP="00E83B3D">
      <w:pPr>
        <w:spacing w:line="480" w:lineRule="auto"/>
        <w:jc w:val="center"/>
        <w:rPr>
          <w:i/>
          <w:sz w:val="20"/>
          <w:szCs w:val="20"/>
        </w:rPr>
      </w:pPr>
      <w:proofErr w:type="spellStart"/>
      <w:r>
        <w:rPr>
          <w:i/>
          <w:sz w:val="20"/>
          <w:szCs w:val="20"/>
          <w:vertAlign w:val="superscript"/>
        </w:rPr>
        <w:t>c</w:t>
      </w:r>
      <w:r>
        <w:rPr>
          <w:i/>
          <w:sz w:val="20"/>
          <w:szCs w:val="20"/>
        </w:rPr>
        <w:t>NOAA</w:t>
      </w:r>
      <w:proofErr w:type="spellEnd"/>
      <w:r w:rsidR="00F42152">
        <w:rPr>
          <w:i/>
          <w:sz w:val="20"/>
          <w:szCs w:val="20"/>
        </w:rPr>
        <w:t>/National Centers for Environmental Information, Asheville,</w:t>
      </w:r>
      <w:r w:rsidR="001724A8">
        <w:rPr>
          <w:i/>
          <w:sz w:val="20"/>
          <w:szCs w:val="20"/>
        </w:rPr>
        <w:t xml:space="preserve"> </w:t>
      </w:r>
      <w:r w:rsidR="00F42152">
        <w:rPr>
          <w:i/>
          <w:sz w:val="20"/>
          <w:szCs w:val="20"/>
        </w:rPr>
        <w:t>NC</w:t>
      </w:r>
    </w:p>
    <w:p w14:paraId="45B664D9" w14:textId="41EA3AD3" w:rsidR="009D7CE7" w:rsidRDefault="00E83B3D" w:rsidP="00E83B3D">
      <w:pPr>
        <w:spacing w:line="480" w:lineRule="auto"/>
        <w:jc w:val="center"/>
        <w:rPr>
          <w:i/>
          <w:sz w:val="20"/>
          <w:szCs w:val="20"/>
        </w:rPr>
      </w:pPr>
      <w:proofErr w:type="spellStart"/>
      <w:r>
        <w:rPr>
          <w:i/>
          <w:sz w:val="20"/>
          <w:szCs w:val="20"/>
          <w:vertAlign w:val="superscript"/>
        </w:rPr>
        <w:t>d</w:t>
      </w:r>
      <w:r>
        <w:rPr>
          <w:i/>
          <w:sz w:val="20"/>
          <w:szCs w:val="20"/>
        </w:rPr>
        <w:t>CISESS</w:t>
      </w:r>
      <w:proofErr w:type="spellEnd"/>
      <w:r w:rsidR="009D7CE7">
        <w:rPr>
          <w:i/>
          <w:sz w:val="20"/>
          <w:szCs w:val="20"/>
        </w:rPr>
        <w:t>, North Carolina State University, Asheville, NC</w:t>
      </w:r>
    </w:p>
    <w:p w14:paraId="3E9CB697" w14:textId="055B51C6" w:rsidR="00362003" w:rsidRDefault="00E83B3D" w:rsidP="00E83B3D">
      <w:pPr>
        <w:spacing w:line="480" w:lineRule="auto"/>
        <w:jc w:val="center"/>
        <w:rPr>
          <w:i/>
          <w:sz w:val="20"/>
          <w:szCs w:val="20"/>
        </w:rPr>
      </w:pPr>
      <w:proofErr w:type="spellStart"/>
      <w:r>
        <w:rPr>
          <w:i/>
          <w:sz w:val="20"/>
          <w:szCs w:val="20"/>
          <w:vertAlign w:val="superscript"/>
        </w:rPr>
        <w:t>e</w:t>
      </w:r>
      <w:r>
        <w:rPr>
          <w:i/>
          <w:sz w:val="20"/>
          <w:szCs w:val="20"/>
        </w:rPr>
        <w:t>NOAA</w:t>
      </w:r>
      <w:proofErr w:type="spellEnd"/>
      <w:r w:rsidR="00F42152">
        <w:rPr>
          <w:i/>
          <w:sz w:val="20"/>
          <w:szCs w:val="20"/>
        </w:rPr>
        <w:t>/Geophysical Fluid Dynamics Laboratory, Princeton, NJ</w:t>
      </w:r>
    </w:p>
    <w:p w14:paraId="6113F063" w14:textId="4F4EC3A8" w:rsidR="00362003" w:rsidRDefault="00E83B3D" w:rsidP="00E83B3D">
      <w:pPr>
        <w:spacing w:line="480" w:lineRule="auto"/>
        <w:jc w:val="center"/>
        <w:rPr>
          <w:i/>
          <w:sz w:val="20"/>
          <w:szCs w:val="20"/>
        </w:rPr>
      </w:pPr>
      <w:proofErr w:type="spellStart"/>
      <w:r>
        <w:rPr>
          <w:i/>
          <w:sz w:val="20"/>
          <w:szCs w:val="20"/>
          <w:vertAlign w:val="superscript"/>
        </w:rPr>
        <w:t>f</w:t>
      </w:r>
      <w:r>
        <w:rPr>
          <w:i/>
          <w:sz w:val="20"/>
          <w:szCs w:val="20"/>
        </w:rPr>
        <w:t>NOAA</w:t>
      </w:r>
      <w:proofErr w:type="spellEnd"/>
      <w:r w:rsidR="00F42152">
        <w:rPr>
          <w:i/>
          <w:sz w:val="20"/>
          <w:szCs w:val="20"/>
        </w:rPr>
        <w:t>/National Centers for Environmental Prediction, College Park, MD</w:t>
      </w:r>
    </w:p>
    <w:p w14:paraId="403C38FB" w14:textId="032C7726" w:rsidR="00E83E14" w:rsidRPr="00E83E14" w:rsidRDefault="00E83B3D" w:rsidP="00E83B3D">
      <w:pPr>
        <w:spacing w:line="480" w:lineRule="auto"/>
        <w:jc w:val="center"/>
        <w:rPr>
          <w:i/>
          <w:iCs/>
          <w:sz w:val="20"/>
          <w:szCs w:val="20"/>
        </w:rPr>
      </w:pPr>
      <w:proofErr w:type="spellStart"/>
      <w:r>
        <w:rPr>
          <w:i/>
          <w:iCs/>
          <w:sz w:val="20"/>
          <w:szCs w:val="20"/>
          <w:vertAlign w:val="superscript"/>
        </w:rPr>
        <w:t>g</w:t>
      </w:r>
      <w:r w:rsidRPr="00E83E14">
        <w:rPr>
          <w:i/>
          <w:iCs/>
          <w:sz w:val="20"/>
          <w:szCs w:val="20"/>
        </w:rPr>
        <w:t>ESSIC</w:t>
      </w:r>
      <w:proofErr w:type="spellEnd"/>
      <w:r w:rsidR="0010753D" w:rsidRPr="0010753D">
        <w:rPr>
          <w:i/>
          <w:iCs/>
          <w:sz w:val="20"/>
          <w:szCs w:val="20"/>
        </w:rPr>
        <w:t xml:space="preserve">, </w:t>
      </w:r>
      <w:r w:rsidR="00E83E14" w:rsidRPr="00E83E14">
        <w:rPr>
          <w:i/>
          <w:iCs/>
          <w:sz w:val="20"/>
          <w:szCs w:val="20"/>
        </w:rPr>
        <w:t>University of Maryland, College Park</w:t>
      </w:r>
      <w:r w:rsidR="0010753D" w:rsidRPr="0010753D">
        <w:rPr>
          <w:i/>
          <w:iCs/>
          <w:sz w:val="20"/>
          <w:szCs w:val="20"/>
        </w:rPr>
        <w:t>, MD</w:t>
      </w:r>
    </w:p>
    <w:p w14:paraId="23D90F7E" w14:textId="77777777" w:rsidR="00362003" w:rsidRDefault="00362003" w:rsidP="00E83B3D">
      <w:pPr>
        <w:spacing w:line="480" w:lineRule="auto"/>
      </w:pPr>
    </w:p>
    <w:p w14:paraId="593418BB" w14:textId="77777777" w:rsidR="00362003" w:rsidRDefault="00362003" w:rsidP="00E83B3D">
      <w:pPr>
        <w:spacing w:line="480" w:lineRule="auto"/>
      </w:pPr>
    </w:p>
    <w:p w14:paraId="3EA5B478" w14:textId="77777777" w:rsidR="00362003" w:rsidRDefault="00F42152" w:rsidP="00E83B3D">
      <w:pPr>
        <w:spacing w:before="120" w:line="480" w:lineRule="auto"/>
        <w:rPr>
          <w:b/>
        </w:rPr>
      </w:pPr>
      <w:r>
        <w:rPr>
          <w:b/>
          <w:i/>
        </w:rPr>
        <w:t>Corresponding author</w:t>
      </w:r>
      <w:r>
        <w:rPr>
          <w:b/>
        </w:rPr>
        <w:t>: Joseph J. Barsugli, joseph.barsugli@colorado.edu</w:t>
      </w:r>
    </w:p>
    <w:p w14:paraId="76094711" w14:textId="77777777" w:rsidR="00362003" w:rsidRDefault="00F42152" w:rsidP="00E83B3D">
      <w:pPr>
        <w:spacing w:line="480" w:lineRule="auto"/>
        <w:ind w:left="720"/>
        <w:rPr>
          <w:b/>
        </w:rPr>
      </w:pPr>
      <w:r>
        <w:br w:type="page"/>
      </w:r>
    </w:p>
    <w:p w14:paraId="5CF85175" w14:textId="77777777" w:rsidR="00362003" w:rsidRPr="00DE7E9F" w:rsidRDefault="00F42152" w:rsidP="00E83B3D">
      <w:pPr>
        <w:numPr>
          <w:ilvl w:val="0"/>
          <w:numId w:val="1"/>
        </w:numPr>
        <w:spacing w:line="480" w:lineRule="auto"/>
        <w:rPr>
          <w:b/>
        </w:rPr>
      </w:pPr>
      <w:r>
        <w:rPr>
          <w:b/>
        </w:rPr>
        <w:lastRenderedPageBreak/>
        <w:t>Introduction</w:t>
      </w:r>
    </w:p>
    <w:p w14:paraId="3D59E021" w14:textId="736D452F" w:rsidR="00362003" w:rsidRDefault="00A2611E" w:rsidP="00E83B3D">
      <w:pPr>
        <w:spacing w:line="480" w:lineRule="auto"/>
        <w:ind w:firstLine="720"/>
      </w:pPr>
      <w:r>
        <w:t>In January 2021</w:t>
      </w:r>
      <w:r w:rsidR="006E2CEF">
        <w:t xml:space="preserve"> work began on a</w:t>
      </w:r>
      <w:r>
        <w:t xml:space="preserve"> NOAA Climate Program Office funded project “</w:t>
      </w:r>
      <w:r w:rsidR="00F42152">
        <w:t>that develops and tests a potential rapid event analysis and assessment capability.” (NOAA CPO, 2020).</w:t>
      </w:r>
      <w:r w:rsidR="00DE7E9F">
        <w:t xml:space="preserve"> </w:t>
      </w:r>
      <w:r w:rsidR="00F42152">
        <w:t>This 3-1/</w:t>
      </w:r>
      <w:proofErr w:type="gramStart"/>
      <w:r w:rsidR="00F42152">
        <w:t>2 year</w:t>
      </w:r>
      <w:proofErr w:type="gramEnd"/>
      <w:r w:rsidR="00F42152">
        <w:t xml:space="preserve"> effor</w:t>
      </w:r>
      <w:r w:rsidR="006E2CEF">
        <w:t xml:space="preserve">t </w:t>
      </w:r>
      <w:r w:rsidR="00F42152">
        <w:t>brings together scientists from four NOAA Laboratories/Centers and university scientists at two of NOAA’s Cooperative Institutes</w:t>
      </w:r>
      <w:r>
        <w:t>.</w:t>
      </w:r>
      <w:r w:rsidR="00DE7E9F">
        <w:t xml:space="preserve"> </w:t>
      </w:r>
      <w:r w:rsidR="006E2CEF">
        <w:t xml:space="preserve">This </w:t>
      </w:r>
      <w:r>
        <w:t xml:space="preserve">funded </w:t>
      </w:r>
      <w:r w:rsidR="00F42152">
        <w:t>project has two high-level goals: (1) to address outstanding dataset, model, and methodological gaps in explaining extreme events within a changing climate, and (2)</w:t>
      </w:r>
      <w:r w:rsidR="00DE7E9F">
        <w:t xml:space="preserve"> </w:t>
      </w:r>
      <w:r w:rsidR="00F42152">
        <w:t>to build a prototype rapid</w:t>
      </w:r>
      <w:r w:rsidR="000B165A">
        <w:t xml:space="preserve"> </w:t>
      </w:r>
      <w:r w:rsidR="00F42152">
        <w:t>event attribution system for temperature-related and drought extremes that could eventually serve routine climate information needs</w:t>
      </w:r>
      <w:r w:rsidR="00225CAE">
        <w:t xml:space="preserve"> at local, </w:t>
      </w:r>
      <w:r w:rsidR="00A71A61">
        <w:t xml:space="preserve">state, and </w:t>
      </w:r>
      <w:r w:rsidR="00225CAE">
        <w:t>regional</w:t>
      </w:r>
      <w:r w:rsidR="00A71A61">
        <w:t xml:space="preserve"> levels</w:t>
      </w:r>
      <w:r w:rsidR="00F42152">
        <w:t>.</w:t>
      </w:r>
      <w:r w:rsidR="00CF3DC6">
        <w:t xml:space="preserve"> The focus on temperature-related extremes derives from the conclusions of the US National Academy</w:t>
      </w:r>
      <w:r w:rsidR="006E2CEF">
        <w:t xml:space="preserve"> of Sciences</w:t>
      </w:r>
      <w:r w:rsidR="00CF3DC6">
        <w:t xml:space="preserve"> report that confidence in attribution findings is greatest for this class of extremes (NAS, 2016).  </w:t>
      </w:r>
      <w:r w:rsidR="00033E68">
        <w:t>T</w:t>
      </w:r>
      <w:r>
        <w:t xml:space="preserve">he project will leverage additional research projects </w:t>
      </w:r>
      <w:r w:rsidR="00BE4612">
        <w:t xml:space="preserve">that were </w:t>
      </w:r>
      <w:r w:rsidR="00CF3DC6">
        <w:t>funded under the same call that</w:t>
      </w:r>
      <w:r w:rsidR="004D6D76">
        <w:t xml:space="preserve"> focus</w:t>
      </w:r>
      <w:r w:rsidR="00CF3DC6">
        <w:t xml:space="preserve"> on the underlying mechanisms</w:t>
      </w:r>
      <w:r w:rsidR="004D6D76">
        <w:t xml:space="preserve"> </w:t>
      </w:r>
      <w:r w:rsidR="00D74625">
        <w:t>for</w:t>
      </w:r>
      <w:r w:rsidR="00CF3DC6">
        <w:t xml:space="preserve"> these types of extreme events</w:t>
      </w:r>
      <w:r>
        <w:t xml:space="preserve">.  </w:t>
      </w:r>
    </w:p>
    <w:p w14:paraId="1B3935BE" w14:textId="1230EE70" w:rsidR="00362003" w:rsidRDefault="009E0ADE" w:rsidP="00C763ED">
      <w:pPr>
        <w:spacing w:line="480" w:lineRule="auto"/>
        <w:ind w:firstLine="720"/>
        <w:rPr>
          <w:rFonts w:ascii="Calibri" w:eastAsia="Calibri" w:hAnsi="Calibri" w:cs="Calibri"/>
        </w:rPr>
      </w:pPr>
      <w:r>
        <w:rPr>
          <w:color w:val="3C4043"/>
          <w:highlight w:val="white"/>
        </w:rPr>
        <w:t>Several c</w:t>
      </w:r>
      <w:r w:rsidR="000B165A">
        <w:rPr>
          <w:color w:val="3C4043"/>
          <w:highlight w:val="white"/>
        </w:rPr>
        <w:t xml:space="preserve">limate trends in the United States present </w:t>
      </w:r>
      <w:r w:rsidR="00F42152">
        <w:rPr>
          <w:color w:val="3C4043"/>
          <w:highlight w:val="white"/>
        </w:rPr>
        <w:t>challenges for the attribution of temperature-related extremes</w:t>
      </w:r>
      <w:r w:rsidR="00123B81">
        <w:rPr>
          <w:color w:val="3C4043"/>
        </w:rPr>
        <w:t xml:space="preserve"> (Fig. 1)</w:t>
      </w:r>
      <w:r w:rsidR="00F42152">
        <w:t xml:space="preserve">. The first is the lack of appreciable daytime warming during the hottest time of year over the central US </w:t>
      </w:r>
      <w:r w:rsidR="00D74625">
        <w:t xml:space="preserve">— </w:t>
      </w:r>
      <w:r w:rsidR="00F42152">
        <w:t>a so-called “warming hole” (Fig. 1a and 1b). This poses a conundrum in the attribution of heat waves in this region both scientifically and in perceived relevance</w:t>
      </w:r>
      <w:r w:rsidR="00DE7E9F">
        <w:t xml:space="preserve"> </w:t>
      </w:r>
      <w:r w:rsidR="00F42152">
        <w:t>and will require that the long-term trend itself be adequately explained.</w:t>
      </w:r>
      <w:r w:rsidR="00DE7E9F">
        <w:t xml:space="preserve"> </w:t>
      </w:r>
      <w:r w:rsidR="00F42152">
        <w:t>A second phenomenon is the increase in summertime soil moisture in the Central US concomitant with the upward observed trend in precipitation (Figure 1c), contrary to trends predicted by many climate models (e.</w:t>
      </w:r>
      <w:r w:rsidR="00DE7E9F">
        <w:t xml:space="preserve"> </w:t>
      </w:r>
      <w:r w:rsidR="00F42152">
        <w:t>g. Dai, 2013), posing an analogous challenge for drought attribution over the Central US.</w:t>
      </w:r>
      <w:r w:rsidR="00DE7E9F">
        <w:t xml:space="preserve"> </w:t>
      </w:r>
      <w:r w:rsidR="00F42152">
        <w:t xml:space="preserve"> In contrast, there has been prevalent drought in the western US since the turn of the millennium whose causes (Lehner et al</w:t>
      </w:r>
      <w:r w:rsidR="00DE7E9F">
        <w:t>.,</w:t>
      </w:r>
      <w:r w:rsidR="00F42152">
        <w:t xml:space="preserve"> 2019, Seager et al, 2014, </w:t>
      </w:r>
      <w:r w:rsidR="00A71A61">
        <w:t xml:space="preserve">and see </w:t>
      </w:r>
      <w:proofErr w:type="spellStart"/>
      <w:r w:rsidR="00F42152">
        <w:t>Hoell</w:t>
      </w:r>
      <w:proofErr w:type="spellEnd"/>
      <w:r w:rsidR="00F42152">
        <w:t xml:space="preserve"> et al, this issue), </w:t>
      </w:r>
      <w:r w:rsidR="00F42152">
        <w:lastRenderedPageBreak/>
        <w:t xml:space="preserve">and implications for </w:t>
      </w:r>
      <w:r w:rsidR="00D55FF8">
        <w:t xml:space="preserve">extreme </w:t>
      </w:r>
      <w:r w:rsidR="00F42152">
        <w:t>event attribution, are yet to be definitively unraveled.</w:t>
      </w:r>
      <w:r w:rsidR="00DE7E9F">
        <w:t xml:space="preserve"> </w:t>
      </w:r>
      <w:r w:rsidR="00F42152">
        <w:t xml:space="preserve">While understanding these trends constitutes an important prelude to attribution of single events, the rest of this perspective concerns the development of an </w:t>
      </w:r>
      <w:r w:rsidR="000B165A">
        <w:t xml:space="preserve">extreme </w:t>
      </w:r>
      <w:r w:rsidR="00940A5C">
        <w:t xml:space="preserve">event </w:t>
      </w:r>
      <w:r w:rsidR="00F42152">
        <w:t>attribution capability within NOAA.</w:t>
      </w:r>
      <w:r w:rsidR="00DE7E9F">
        <w:t xml:space="preserve">  </w:t>
      </w:r>
      <w:r w:rsidR="00F42152">
        <w:t xml:space="preserve"> </w:t>
      </w:r>
    </w:p>
    <w:p w14:paraId="7CCF7031" w14:textId="77777777" w:rsidR="0072187B" w:rsidRDefault="0072187B" w:rsidP="00E83B3D">
      <w:pPr>
        <w:spacing w:line="480" w:lineRule="auto"/>
        <w:ind w:left="720"/>
      </w:pPr>
    </w:p>
    <w:p w14:paraId="55F3E429" w14:textId="43ABAA55" w:rsidR="00D74625" w:rsidRPr="00D74625" w:rsidRDefault="00066C77" w:rsidP="00E83B3D">
      <w:pPr>
        <w:pStyle w:val="ListParagraph"/>
        <w:numPr>
          <w:ilvl w:val="0"/>
          <w:numId w:val="1"/>
        </w:numPr>
        <w:spacing w:line="480" w:lineRule="auto"/>
      </w:pPr>
      <w:r>
        <w:rPr>
          <w:b/>
        </w:rPr>
        <w:t>Why a rapid assessment</w:t>
      </w:r>
      <w:r w:rsidR="002D1658">
        <w:rPr>
          <w:b/>
        </w:rPr>
        <w:t xml:space="preserve"> </w:t>
      </w:r>
      <w:r w:rsidR="00D74625">
        <w:rPr>
          <w:b/>
        </w:rPr>
        <w:t>capability</w:t>
      </w:r>
      <w:r>
        <w:rPr>
          <w:b/>
        </w:rPr>
        <w:t xml:space="preserve">? </w:t>
      </w:r>
    </w:p>
    <w:p w14:paraId="23EEA399" w14:textId="77777777" w:rsidR="00D74625" w:rsidRDefault="00D74625" w:rsidP="00E83B3D">
      <w:pPr>
        <w:pStyle w:val="ListParagraph"/>
        <w:spacing w:line="480" w:lineRule="auto"/>
      </w:pPr>
    </w:p>
    <w:p w14:paraId="1425D72B" w14:textId="7FC3635B" w:rsidR="00D74625" w:rsidRDefault="00D74625" w:rsidP="00E83B3D">
      <w:pPr>
        <w:spacing w:line="480" w:lineRule="auto"/>
        <w:ind w:firstLine="720"/>
      </w:pPr>
      <w:r>
        <w:t>The scientific value of extreme event attribution has been well described in the literature (e.g. Stott et al, 2013; 2016). While the scien</w:t>
      </w:r>
      <w:r w:rsidR="00CD56BB">
        <w:t>ce</w:t>
      </w:r>
      <w:r>
        <w:t xml:space="preserve"> community often produces research explaining previous events (e. g. as part of an annual Special Issue of the Bulletin of the American Meteorological Society beginning with Peterson et al. 2012 and most recently Herring et al. 2021), the methodology, data sets, and scientific focus of such studies are not uniform nor are they produced routinely and predictably. While this diversity of analytical approaches is a strength of the larger research enterprise, it poses some shortcomings as a potential climate service. This project seeks to address some of these shortcomings by providing a transparent and reproducible quantification of the changing weather and climate hazard along with the reasons for these changes, using a set of standard and well-documented methods and datasets.   The aim is to create attribution information usable in the public and private sectors for planning analogous to the manner in which weather forecasts are produced, representing a new service for building climate resilience (Rogers and </w:t>
      </w:r>
      <w:proofErr w:type="spellStart"/>
      <w:r>
        <w:t>Tsirkunov</w:t>
      </w:r>
      <w:proofErr w:type="spellEnd"/>
      <w:r>
        <w:t xml:space="preserve"> 2013; </w:t>
      </w:r>
      <w:proofErr w:type="spellStart"/>
      <w:r>
        <w:t>Pulwarty</w:t>
      </w:r>
      <w:proofErr w:type="spellEnd"/>
      <w:r>
        <w:t xml:space="preserve"> and Sivakumar 2014). Additionally, the release of such data aims to improve climate information equity by making resource-intensive risk analysis (often the product of analyzing terabytes of data) publicly available after major events. </w:t>
      </w:r>
    </w:p>
    <w:p w14:paraId="784708CF" w14:textId="59733581" w:rsidR="00066C77" w:rsidRDefault="00D74625" w:rsidP="00E83B3D">
      <w:pPr>
        <w:spacing w:line="480" w:lineRule="auto"/>
        <w:ind w:firstLine="720"/>
      </w:pPr>
      <w:r>
        <w:lastRenderedPageBreak/>
        <w:t xml:space="preserve">How does this project define “rapid?”  </w:t>
      </w:r>
      <w:r w:rsidR="00066C77">
        <w:t>During and immediately following a high-impact extreme event there is considerable public interest in its</w:t>
      </w:r>
      <w:r w:rsidR="0029660B">
        <w:t xml:space="preserve"> likely</w:t>
      </w:r>
      <w:r w:rsidR="00066C77">
        <w:t xml:space="preserve"> causes, motivating </w:t>
      </w:r>
      <w:r>
        <w:t>the development of a</w:t>
      </w:r>
      <w:r w:rsidR="00066C77">
        <w:t xml:space="preserve"> capacity for quasi-real time analysis</w:t>
      </w:r>
      <w:r>
        <w:t xml:space="preserve">. </w:t>
      </w:r>
      <w:r w:rsidR="00066C77">
        <w:t xml:space="preserve"> </w:t>
      </w:r>
      <w:r>
        <w:t>There</w:t>
      </w:r>
      <w:r w:rsidR="00066C77">
        <w:t xml:space="preserve"> is</w:t>
      </w:r>
      <w:r w:rsidR="00033E68">
        <w:t xml:space="preserve"> also</w:t>
      </w:r>
      <w:r>
        <w:t xml:space="preserve"> a</w:t>
      </w:r>
      <w:r w:rsidR="00066C77">
        <w:t xml:space="preserve"> longer time</w:t>
      </w:r>
      <w:r>
        <w:t xml:space="preserve"> </w:t>
      </w:r>
      <w:r w:rsidR="00066C77">
        <w:t xml:space="preserve">frame of interest.  </w:t>
      </w:r>
      <w:r w:rsidR="002D1658">
        <w:t>After</w:t>
      </w:r>
      <w:r>
        <w:t xml:space="preserve"> an</w:t>
      </w:r>
      <w:r w:rsidR="00066C77">
        <w:t xml:space="preserve"> event there is a period of recovery, planning and re-investment as the affected communities move towards rebuilding and seek to incorporate practices to increase resilience. The perceived risk of another such an extreme event often increases during this period (whether justified or not), and new perceptions affect subsequent planning for future disasters (</w:t>
      </w:r>
      <w:proofErr w:type="spellStart"/>
      <w:r w:rsidR="00066C77">
        <w:t>Birkmann</w:t>
      </w:r>
      <w:proofErr w:type="spellEnd"/>
      <w:r w:rsidR="00066C77">
        <w:t xml:space="preserve"> et al. 2008; </w:t>
      </w:r>
      <w:proofErr w:type="spellStart"/>
      <w:r w:rsidR="00066C77">
        <w:t>Kousky</w:t>
      </w:r>
      <w:proofErr w:type="spellEnd"/>
      <w:r w:rsidR="00066C77">
        <w:t xml:space="preserve"> 2010). During this planning stage in an events aftermath, a re-evaluation of the hazard posed by such events is important for determining resilience (</w:t>
      </w:r>
      <w:proofErr w:type="spellStart"/>
      <w:r w:rsidR="00066C77">
        <w:t>Amaratunga</w:t>
      </w:r>
      <w:proofErr w:type="spellEnd"/>
      <w:r w:rsidR="00066C77">
        <w:t xml:space="preserve"> and Haigh 2011</w:t>
      </w:r>
      <w:r>
        <w:t>, Pascale et al., 2020</w:t>
      </w:r>
      <w:r w:rsidR="00940A5C">
        <w:t xml:space="preserve">). </w:t>
      </w:r>
      <w:r w:rsidR="00066C77">
        <w:t xml:space="preserve"> </w:t>
      </w:r>
      <w:r w:rsidR="00940A5C">
        <w:t>The</w:t>
      </w:r>
      <w:r w:rsidR="00066C77">
        <w:t xml:space="preserve"> National Academy of Sciences </w:t>
      </w:r>
      <w:r w:rsidR="00940A5C">
        <w:t>report on event attribution</w:t>
      </w:r>
      <w:r>
        <w:t xml:space="preserve"> </w:t>
      </w:r>
      <w:r w:rsidR="00066C77">
        <w:t xml:space="preserve">noted that the science of the causes of these events can inform “emergency managers, regional planners, and policy makers at all levels of government.” (NAS, 2016), though we recognize that the value of event attribution for informing adaptation is a matter of ongoing debate (e. g. Hulme et al. 2016).  For this project, “rapid” thus entails </w:t>
      </w:r>
      <w:proofErr w:type="gramStart"/>
      <w:r w:rsidR="00066C77">
        <w:t>two time</w:t>
      </w:r>
      <w:proofErr w:type="gramEnd"/>
      <w:r>
        <w:t xml:space="preserve"> </w:t>
      </w:r>
      <w:r w:rsidR="002D1658">
        <w:t>frames</w:t>
      </w:r>
      <w:r w:rsidR="00066C77">
        <w:t xml:space="preserve"> with different audiences: the first, as the event is ongoing and immediately following when public interest is high, and the second in the weeks to months following the event when accurate present-day and forward-looking risk assessments are desired by risk managers, policymakers and affected communities</w:t>
      </w:r>
      <w:r>
        <w:t xml:space="preserve">. </w:t>
      </w:r>
      <w:r w:rsidR="00066C77">
        <w:t xml:space="preserve">To reach the audiences for this information, this project will work with existing climate service providers and boundary organizations within and outside NOAA, including the NOAA Regional Climate Centers and Regional Integrated Sciences as Assessments (RISA) that have established communication channels and stakeholder networks. </w:t>
      </w:r>
    </w:p>
    <w:p w14:paraId="071A914A" w14:textId="77777777" w:rsidR="00940A5C" w:rsidRDefault="00940A5C" w:rsidP="00E83B3D">
      <w:pPr>
        <w:spacing w:line="480" w:lineRule="auto"/>
        <w:ind w:firstLine="720"/>
      </w:pPr>
    </w:p>
    <w:p w14:paraId="24B96E0C" w14:textId="0717887A" w:rsidR="0072187B" w:rsidRPr="0072187B" w:rsidRDefault="002D1658" w:rsidP="00E83B3D">
      <w:pPr>
        <w:pStyle w:val="ListParagraph"/>
        <w:numPr>
          <w:ilvl w:val="0"/>
          <w:numId w:val="1"/>
        </w:numPr>
        <w:spacing w:line="480" w:lineRule="auto"/>
        <w:rPr>
          <w:b/>
        </w:rPr>
      </w:pPr>
      <w:r>
        <w:rPr>
          <w:b/>
        </w:rPr>
        <w:t xml:space="preserve">Key aspects of a </w:t>
      </w:r>
      <w:r w:rsidR="00CD56BB">
        <w:rPr>
          <w:b/>
        </w:rPr>
        <w:t>r</w:t>
      </w:r>
      <w:r w:rsidR="00F42152" w:rsidRPr="0072187B">
        <w:rPr>
          <w:b/>
        </w:rPr>
        <w:t xml:space="preserve">apid </w:t>
      </w:r>
      <w:r w:rsidR="00CD56BB">
        <w:rPr>
          <w:b/>
        </w:rPr>
        <w:t>a</w:t>
      </w:r>
      <w:r w:rsidR="00F42152" w:rsidRPr="0072187B">
        <w:rPr>
          <w:b/>
        </w:rPr>
        <w:t xml:space="preserve">ttribution </w:t>
      </w:r>
      <w:r w:rsidR="00CD56BB">
        <w:rPr>
          <w:b/>
        </w:rPr>
        <w:t>p</w:t>
      </w:r>
      <w:r w:rsidR="00F42152" w:rsidRPr="0072187B">
        <w:rPr>
          <w:b/>
        </w:rPr>
        <w:t>rototype</w:t>
      </w:r>
    </w:p>
    <w:p w14:paraId="78BF7FF3" w14:textId="2C83A6FE" w:rsidR="00362003" w:rsidRDefault="0072187B" w:rsidP="00E83B3D">
      <w:pPr>
        <w:spacing w:line="480" w:lineRule="auto"/>
      </w:pPr>
      <w:r>
        <w:lastRenderedPageBreak/>
        <w:tab/>
      </w:r>
      <w:r w:rsidR="00F42152">
        <w:t xml:space="preserve">The project objectives are organized around five principal steps in conducting a timely </w:t>
      </w:r>
      <w:r w:rsidR="000B165A">
        <w:t xml:space="preserve">extreme event </w:t>
      </w:r>
      <w:r w:rsidR="00F42152">
        <w:t>attribution</w:t>
      </w:r>
      <w:r w:rsidR="00DE7E9F">
        <w:t xml:space="preserve"> </w:t>
      </w:r>
      <w:r w:rsidR="00F42152">
        <w:t xml:space="preserve">(Fig. 2), spanning the pre-event preparation of data and tools to the post-analysis communication of scientific findings. We see this as an iterative process, </w:t>
      </w:r>
      <w:r w:rsidR="006E2CEF">
        <w:t xml:space="preserve">with lessons learned from event analysis </w:t>
      </w:r>
      <w:r w:rsidR="00F42152">
        <w:t>feeding back into research and development.</w:t>
      </w:r>
      <w:r w:rsidR="00DE7E9F">
        <w:t xml:space="preserve"> </w:t>
      </w:r>
      <w:r w:rsidR="00F42152">
        <w:t>Key aspects are the following:</w:t>
      </w:r>
      <w:r w:rsidR="00DE7E9F">
        <w:t xml:space="preserve"> </w:t>
      </w:r>
    </w:p>
    <w:p w14:paraId="659C72F4" w14:textId="1FB9F8A7" w:rsidR="00362003" w:rsidRDefault="00F42152" w:rsidP="00E83B3D">
      <w:pPr>
        <w:numPr>
          <w:ilvl w:val="0"/>
          <w:numId w:val="2"/>
        </w:numPr>
        <w:spacing w:before="240" w:after="240" w:line="480" w:lineRule="auto"/>
      </w:pPr>
      <w:r>
        <w:rPr>
          <w:i/>
        </w:rPr>
        <w:t>Pre-event Research and Development</w:t>
      </w:r>
      <w:r>
        <w:t>.</w:t>
      </w:r>
      <w:r w:rsidR="00DE7E9F">
        <w:t xml:space="preserve"> </w:t>
      </w:r>
      <w:r>
        <w:t>An early project objective is the selection, development (as needed), and evaluation of a standard “core” collection of observational and model datasets for rapid attribution.</w:t>
      </w:r>
      <w:r w:rsidR="00DE7E9F">
        <w:t xml:space="preserve"> </w:t>
      </w:r>
      <w:r>
        <w:t xml:space="preserve">The core </w:t>
      </w:r>
      <w:r w:rsidR="005969D0">
        <w:t xml:space="preserve">observational </w:t>
      </w:r>
      <w:r>
        <w:t xml:space="preserve">datasets for analysis of heat and cold extremes comprise both station and gridded data; a dew point temperature dataset is under development in order to more meaningfully investigate heat stress extremes, particularly where temperature trends are weak. The core model simulations will </w:t>
      </w:r>
      <w:r w:rsidR="005969D0">
        <w:t>consist</w:t>
      </w:r>
      <w:r>
        <w:t xml:space="preserve"> primarily </w:t>
      </w:r>
      <w:r w:rsidR="005969D0">
        <w:t>of</w:t>
      </w:r>
      <w:r>
        <w:t xml:space="preserve"> large ensembles of </w:t>
      </w:r>
      <w:r w:rsidR="008C2309">
        <w:t xml:space="preserve">free-running </w:t>
      </w:r>
      <w:r>
        <w:t>coupled</w:t>
      </w:r>
      <w:r w:rsidR="00D70109">
        <w:t xml:space="preserve"> </w:t>
      </w:r>
      <w:r w:rsidR="001F5073">
        <w:t xml:space="preserve">model simulations </w:t>
      </w:r>
      <w:r w:rsidR="00D70109">
        <w:t>(</w:t>
      </w:r>
      <w:r w:rsidR="00D5757A">
        <w:t xml:space="preserve">Coupled Model Intercomparison Project </w:t>
      </w:r>
      <w:r w:rsidR="00D3339B">
        <w:t>or</w:t>
      </w:r>
      <w:r w:rsidR="00D5757A">
        <w:t xml:space="preserve"> </w:t>
      </w:r>
      <w:r w:rsidR="00D74625">
        <w:t>“</w:t>
      </w:r>
      <w:r w:rsidR="00D70109">
        <w:t>CMIP-style</w:t>
      </w:r>
      <w:proofErr w:type="gramStart"/>
      <w:r w:rsidR="00D74625">
        <w:t>”</w:t>
      </w:r>
      <w:r w:rsidR="00D3339B">
        <w:t>,  e. g.</w:t>
      </w:r>
      <w:proofErr w:type="gramEnd"/>
      <w:r w:rsidR="00D3339B">
        <w:t xml:space="preserve"> Eyring et al. 2016</w:t>
      </w:r>
      <w:r w:rsidR="00D70109">
        <w:t>)</w:t>
      </w:r>
      <w:r>
        <w:t xml:space="preserve"> and boundary-forced</w:t>
      </w:r>
      <w:r w:rsidR="001F5073">
        <w:t xml:space="preserve"> atmosphere model simulations</w:t>
      </w:r>
      <w:r>
        <w:t xml:space="preserve"> (</w:t>
      </w:r>
      <w:r w:rsidR="00D5757A">
        <w:t xml:space="preserve">Atmosphere Model Intercomparison Project </w:t>
      </w:r>
      <w:r w:rsidR="00D74625">
        <w:t>“</w:t>
      </w:r>
      <w:r>
        <w:t>AMIP</w:t>
      </w:r>
      <w:r w:rsidR="00D70109">
        <w:t>-style</w:t>
      </w:r>
      <w:r w:rsidR="00D74625">
        <w:t>”</w:t>
      </w:r>
      <w:r w:rsidR="00D3339B">
        <w:t>, e. g. Gates et al, 1999</w:t>
      </w:r>
      <w:r w:rsidR="001F5073">
        <w:t>)</w:t>
      </w:r>
      <w:r>
        <w:t xml:space="preserve">, along with </w:t>
      </w:r>
      <w:r w:rsidR="008C2309">
        <w:t>seasonal forecasts</w:t>
      </w:r>
      <w:r w:rsidR="000B1690">
        <w:t xml:space="preserve"> from </w:t>
      </w:r>
      <w:r>
        <w:t>initialized versions of these model</w:t>
      </w:r>
      <w:r w:rsidR="00D70109">
        <w:t>ing systems</w:t>
      </w:r>
      <w:r>
        <w:t xml:space="preserve">. </w:t>
      </w:r>
      <w:r w:rsidR="00F41421">
        <w:t>The use of l</w:t>
      </w:r>
      <w:r w:rsidR="00193531">
        <w:t>arge ensembles allow</w:t>
      </w:r>
      <w:r w:rsidR="00FB50E8">
        <w:t>s</w:t>
      </w:r>
      <w:r w:rsidR="00193531">
        <w:t xml:space="preserve"> for </w:t>
      </w:r>
      <w:r w:rsidR="00F41421">
        <w:t>better</w:t>
      </w:r>
      <w:r w:rsidR="00193531">
        <w:t xml:space="preserve"> statistical sampling of rare extreme events, and </w:t>
      </w:r>
      <w:r w:rsidR="00FB50E8">
        <w:t xml:space="preserve">such ensembles </w:t>
      </w:r>
      <w:r w:rsidR="00193531">
        <w:t xml:space="preserve">have become a well-established </w:t>
      </w:r>
      <w:r w:rsidR="00F41421">
        <w:t>in the study of climate variability and change</w:t>
      </w:r>
      <w:r w:rsidR="00F52109">
        <w:t>, as well as in attribution</w:t>
      </w:r>
      <w:r w:rsidR="00F41421">
        <w:t xml:space="preserve"> (</w:t>
      </w:r>
      <w:r w:rsidR="00FB50E8">
        <w:t xml:space="preserve">e.g. </w:t>
      </w:r>
      <w:r w:rsidR="00FB50E8">
        <w:rPr>
          <w:noProof/>
        </w:rPr>
        <w:t xml:space="preserve">Stone and Allen 2005; Kay et al. 2015; Sippel et al. 2015). </w:t>
      </w:r>
      <w:r w:rsidR="00FB50E8">
        <w:t xml:space="preserve"> </w:t>
      </w:r>
      <w:r>
        <w:t>To enlarge</w:t>
      </w:r>
      <w:r w:rsidR="005969D0">
        <w:t xml:space="preserve"> the compass of</w:t>
      </w:r>
      <w:r>
        <w:t xml:space="preserve"> </w:t>
      </w:r>
      <w:r w:rsidR="00A71A61">
        <w:t>existing</w:t>
      </w:r>
      <w:r>
        <w:t xml:space="preserve"> model simulations, team members are producing large ensembles using the GFDL-SPEAR</w:t>
      </w:r>
      <w:r w:rsidR="00F3093B">
        <w:t xml:space="preserve"> (</w:t>
      </w:r>
      <w:proofErr w:type="spellStart"/>
      <w:r w:rsidR="00F3093B">
        <w:t>Delworth</w:t>
      </w:r>
      <w:proofErr w:type="spellEnd"/>
      <w:r w:rsidR="00F3093B">
        <w:t xml:space="preserve"> et al., 2020)</w:t>
      </w:r>
      <w:r>
        <w:t>, NCEP FV3/GFS</w:t>
      </w:r>
      <w:r w:rsidR="008C2309">
        <w:t xml:space="preserve"> (Zhou et al. 2019, though at</w:t>
      </w:r>
      <w:r w:rsidR="005941DB">
        <w:t xml:space="preserve"> coarse resolution</w:t>
      </w:r>
      <w:r w:rsidR="008C2309">
        <w:t>)</w:t>
      </w:r>
      <w:r>
        <w:t>, and NCAR CESM/CAM5/6</w:t>
      </w:r>
      <w:r w:rsidR="00E927CD">
        <w:t xml:space="preserve"> </w:t>
      </w:r>
      <w:r>
        <w:t>modeling systems</w:t>
      </w:r>
      <w:r w:rsidR="00E927CD">
        <w:t xml:space="preserve"> (Neale, R, et al., 2010, </w:t>
      </w:r>
      <w:proofErr w:type="spellStart"/>
      <w:r w:rsidR="00E927CD">
        <w:t>Danabasoglu</w:t>
      </w:r>
      <w:proofErr w:type="spellEnd"/>
      <w:r w:rsidR="00E927CD">
        <w:t xml:space="preserve"> et al., 2020)</w:t>
      </w:r>
      <w:r>
        <w:t>.</w:t>
      </w:r>
      <w:r w:rsidR="00DE7E9F">
        <w:t xml:space="preserve"> </w:t>
      </w:r>
    </w:p>
    <w:p w14:paraId="3DF2E736" w14:textId="212C9820" w:rsidR="00362003" w:rsidRDefault="0072187B" w:rsidP="00E83B3D">
      <w:pPr>
        <w:spacing w:before="240" w:after="240" w:line="480" w:lineRule="auto"/>
        <w:ind w:left="720"/>
      </w:pPr>
      <w:r>
        <w:lastRenderedPageBreak/>
        <w:tab/>
      </w:r>
      <w:r w:rsidR="00C1699E">
        <w:t>Model</w:t>
      </w:r>
      <w:r w:rsidR="00AC0CA6">
        <w:t>-based</w:t>
      </w:r>
      <w:r w:rsidR="00C1699E">
        <w:t xml:space="preserve"> attribution frameworks will also be evaluated,</w:t>
      </w:r>
      <w:r w:rsidR="00D70109">
        <w:t xml:space="preserve"> </w:t>
      </w:r>
      <w:r w:rsidR="00C1699E">
        <w:t>including</w:t>
      </w:r>
      <w:r w:rsidR="00D70109">
        <w:t xml:space="preserve"> </w:t>
      </w:r>
      <w:r w:rsidR="00C1699E">
        <w:t xml:space="preserve">comparison of </w:t>
      </w:r>
      <w:r w:rsidR="00D70109">
        <w:t xml:space="preserve">attribution from </w:t>
      </w:r>
      <w:r w:rsidR="00F42152">
        <w:t>coupled</w:t>
      </w:r>
      <w:r w:rsidR="00D70109">
        <w:t xml:space="preserve"> </w:t>
      </w:r>
      <w:r w:rsidR="00C1699E">
        <w:t>models,</w:t>
      </w:r>
      <w:r w:rsidR="00D70109">
        <w:t xml:space="preserve"> </w:t>
      </w:r>
      <w:r w:rsidR="00F42152">
        <w:t>long</w:t>
      </w:r>
      <w:r w:rsidR="001F5073">
        <w:t xml:space="preserve"> </w:t>
      </w:r>
      <w:r w:rsidR="00F42152">
        <w:t xml:space="preserve">historical </w:t>
      </w:r>
      <w:r w:rsidR="001F5073">
        <w:t xml:space="preserve">AMIP </w:t>
      </w:r>
      <w:r w:rsidR="00F42152">
        <w:t>simulations</w:t>
      </w:r>
      <w:r w:rsidR="00C1699E">
        <w:t xml:space="preserve">, and </w:t>
      </w:r>
      <w:r w:rsidR="00F42152">
        <w:t xml:space="preserve">time-slice </w:t>
      </w:r>
      <w:r w:rsidR="00D70109">
        <w:t xml:space="preserve">simulations </w:t>
      </w:r>
      <w:r w:rsidR="001F5073">
        <w:t>with modified</w:t>
      </w:r>
      <w:r w:rsidR="00D70109">
        <w:t xml:space="preserve"> boundary</w:t>
      </w:r>
      <w:r w:rsidR="001F5073">
        <w:t xml:space="preserve"> conditions</w:t>
      </w:r>
      <w:r w:rsidR="00D70109">
        <w:t xml:space="preserve"> </w:t>
      </w:r>
      <w:r w:rsidR="001F5073">
        <w:t>(so-called “counterfactual” simulations</w:t>
      </w:r>
      <w:r w:rsidR="00033E68">
        <w:t xml:space="preserve"> in which known climate change drivers</w:t>
      </w:r>
      <w:r w:rsidR="00563A71">
        <w:t xml:space="preserve"> are withheld</w:t>
      </w:r>
      <w:r w:rsidR="001F5073">
        <w:t xml:space="preserve">, </w:t>
      </w:r>
      <w:r w:rsidR="00F42152">
        <w:t xml:space="preserve">e.g. </w:t>
      </w:r>
      <w:proofErr w:type="spellStart"/>
      <w:r w:rsidR="00F42152">
        <w:t>Christidis</w:t>
      </w:r>
      <w:proofErr w:type="spellEnd"/>
      <w:r w:rsidR="00F42152">
        <w:t xml:space="preserve"> et al.,</w:t>
      </w:r>
      <w:r w:rsidR="00B102A5">
        <w:t xml:space="preserve"> 2013 and </w:t>
      </w:r>
      <w:proofErr w:type="gramStart"/>
      <w:r w:rsidR="00B102A5">
        <w:t xml:space="preserve">2015, </w:t>
      </w:r>
      <w:r w:rsidR="00F42152">
        <w:t xml:space="preserve"> Seager</w:t>
      </w:r>
      <w:proofErr w:type="gramEnd"/>
      <w:r w:rsidR="00F42152">
        <w:t xml:space="preserve"> and </w:t>
      </w:r>
      <w:proofErr w:type="spellStart"/>
      <w:r w:rsidR="00F42152">
        <w:t>Hoerling</w:t>
      </w:r>
      <w:proofErr w:type="spellEnd"/>
      <w:r w:rsidR="00F42152">
        <w:t xml:space="preserve"> 2014; Sun et al. 2018; </w:t>
      </w:r>
      <w:proofErr w:type="spellStart"/>
      <w:r w:rsidR="00F42152">
        <w:t>Hoerling</w:t>
      </w:r>
      <w:proofErr w:type="spellEnd"/>
      <w:r w:rsidR="00F42152">
        <w:t xml:space="preserve"> et al 2019).</w:t>
      </w:r>
      <w:r w:rsidR="00DE7E9F">
        <w:t xml:space="preserve"> </w:t>
      </w:r>
      <w:r w:rsidR="00940A5C">
        <w:t>Model and observational data sets, including capabilities to intercompare and diagnose these datasets, will be made available through this project, including through the Facility for Weather and Climate Assessments (FACTS, Murray et al. 2020).</w:t>
      </w:r>
    </w:p>
    <w:p w14:paraId="66829BAF" w14:textId="171ED893" w:rsidR="00AC0CA6" w:rsidRPr="00033E68" w:rsidRDefault="00F42152" w:rsidP="00E83B3D">
      <w:pPr>
        <w:numPr>
          <w:ilvl w:val="0"/>
          <w:numId w:val="2"/>
        </w:numPr>
        <w:spacing w:before="240" w:line="480" w:lineRule="auto"/>
      </w:pPr>
      <w:r>
        <w:rPr>
          <w:i/>
        </w:rPr>
        <w:t>Event monitoring and triggering protocols</w:t>
      </w:r>
      <w:r>
        <w:t>.</w:t>
      </w:r>
      <w:r w:rsidR="00DE7E9F">
        <w:t xml:space="preserve"> </w:t>
      </w:r>
      <w:r>
        <w:rPr>
          <w:color w:val="990000"/>
        </w:rPr>
        <w:t xml:space="preserve"> </w:t>
      </w:r>
      <w:r>
        <w:t>The project will explore</w:t>
      </w:r>
      <w:r w:rsidR="00DE7E9F">
        <w:t xml:space="preserve"> </w:t>
      </w:r>
      <w:r>
        <w:t>physically-based, objective definitions of</w:t>
      </w:r>
      <w:r w:rsidR="000B165A">
        <w:t xml:space="preserve"> extreme</w:t>
      </w:r>
      <w:r>
        <w:t xml:space="preserve"> events, aware of regional differences in what </w:t>
      </w:r>
      <w:r w:rsidR="00033E68">
        <w:t>constitutes</w:t>
      </w:r>
      <w:r>
        <w:t xml:space="preserve"> an event extreme.</w:t>
      </w:r>
      <w:r w:rsidR="00DE7E9F">
        <w:t xml:space="preserve"> </w:t>
      </w:r>
      <w:r>
        <w:rPr>
          <w:color w:val="3C4043"/>
        </w:rPr>
        <w:t>The distributions of historical extremes occupy a broad spectrum of intensity, duration, and extent, posing a challenge for monitoring.</w:t>
      </w:r>
      <w:r w:rsidR="00DE7E9F">
        <w:rPr>
          <w:color w:val="3C4043"/>
        </w:rPr>
        <w:t xml:space="preserve"> </w:t>
      </w:r>
      <w:r>
        <w:rPr>
          <w:color w:val="3C4043"/>
        </w:rPr>
        <w:t xml:space="preserve">However, </w:t>
      </w:r>
      <w:r>
        <w:t xml:space="preserve">temperature extremes and droughts tend to be regional in scale, and/or have large-scale meteorological drivers associated with them, and these scales will guide our initial monitoring and analysis. </w:t>
      </w:r>
      <w:r w:rsidR="001F5073">
        <w:t xml:space="preserve">Using </w:t>
      </w:r>
      <w:r>
        <w:t xml:space="preserve">objective </w:t>
      </w:r>
      <w:proofErr w:type="gramStart"/>
      <w:r w:rsidR="00F32033">
        <w:t>criteria</w:t>
      </w:r>
      <w:proofErr w:type="gramEnd"/>
      <w:r w:rsidR="00F32033">
        <w:t xml:space="preserve"> </w:t>
      </w:r>
      <w:r w:rsidR="001F5073">
        <w:t>we will</w:t>
      </w:r>
      <w:r w:rsidR="00F32033">
        <w:t xml:space="preserve"> </w:t>
      </w:r>
      <w:r w:rsidR="00473DD0">
        <w:t xml:space="preserve">develop </w:t>
      </w:r>
      <w:r w:rsidR="00F32033">
        <w:t>a library of past events for use in</w:t>
      </w:r>
      <w:r w:rsidR="001F5073">
        <w:t xml:space="preserve"> method</w:t>
      </w:r>
      <w:r w:rsidR="00E81D57">
        <w:t>o</w:t>
      </w:r>
      <w:r w:rsidR="00D24065">
        <w:t>logical development</w:t>
      </w:r>
      <w:r w:rsidR="001F5073">
        <w:t xml:space="preserve"> </w:t>
      </w:r>
      <w:r w:rsidR="003C0754">
        <w:t>and evaluation</w:t>
      </w:r>
      <w:r w:rsidR="00033E68">
        <w:t xml:space="preserve">, including the evaluation of potential new methods and tools </w:t>
      </w:r>
      <w:r w:rsidR="001F5073">
        <w:t>(</w:t>
      </w:r>
      <w:r w:rsidR="00033E68">
        <w:t xml:space="preserve">section 1a, </w:t>
      </w:r>
      <w:r w:rsidR="001F5073">
        <w:t xml:space="preserve">above).  </w:t>
      </w:r>
      <w:r w:rsidR="00F32033">
        <w:t xml:space="preserve"> </w:t>
      </w:r>
      <w:r w:rsidR="00D24065">
        <w:t xml:space="preserve">These </w:t>
      </w:r>
      <w:r>
        <w:t xml:space="preserve">criteria </w:t>
      </w:r>
      <w:r w:rsidR="00D24065">
        <w:t xml:space="preserve">also </w:t>
      </w:r>
      <w:r>
        <w:t>open</w:t>
      </w:r>
      <w:r w:rsidR="00D24065">
        <w:t xml:space="preserve"> </w:t>
      </w:r>
      <w:r>
        <w:t>the door to using forecast</w:t>
      </w:r>
      <w:r w:rsidR="000B165A">
        <w:t xml:space="preserve"> guidance</w:t>
      </w:r>
      <w:r>
        <w:t xml:space="preserve"> for anticipatory monitoring to enable more timely assessments</w:t>
      </w:r>
      <w:r w:rsidR="00D24065">
        <w:t xml:space="preserve"> as events unfold</w:t>
      </w:r>
      <w:r>
        <w:t>.</w:t>
      </w:r>
      <w:r w:rsidR="00DE7E9F">
        <w:t xml:space="preserve"> </w:t>
      </w:r>
      <w:r w:rsidR="00DE7E9F">
        <w:rPr>
          <w:color w:val="3C4043"/>
        </w:rPr>
        <w:t xml:space="preserve"> </w:t>
      </w:r>
      <w:r>
        <w:rPr>
          <w:color w:val="3C4043"/>
        </w:rPr>
        <w:t>Existing monitoring efforts</w:t>
      </w:r>
      <w:r w:rsidR="002D1658">
        <w:rPr>
          <w:color w:val="3C4043"/>
        </w:rPr>
        <w:t xml:space="preserve"> </w:t>
      </w:r>
      <w:r>
        <w:rPr>
          <w:color w:val="3C4043"/>
        </w:rPr>
        <w:t>and widely used indices</w:t>
      </w:r>
      <w:r w:rsidR="002D1658">
        <w:rPr>
          <w:color w:val="3C4043"/>
        </w:rPr>
        <w:t xml:space="preserve"> </w:t>
      </w:r>
      <w:r>
        <w:rPr>
          <w:color w:val="3C4043"/>
        </w:rPr>
        <w:t>will be evaluated for developing</w:t>
      </w:r>
      <w:r w:rsidR="00DE7E9F">
        <w:rPr>
          <w:color w:val="3C4043"/>
        </w:rPr>
        <w:t xml:space="preserve"> </w:t>
      </w:r>
      <w:r>
        <w:rPr>
          <w:color w:val="3C4043"/>
        </w:rPr>
        <w:t>triggers for</w:t>
      </w:r>
      <w:r w:rsidR="00DE7E9F">
        <w:rPr>
          <w:color w:val="3C4043"/>
        </w:rPr>
        <w:t xml:space="preserve"> </w:t>
      </w:r>
      <w:r>
        <w:rPr>
          <w:color w:val="3C4043"/>
        </w:rPr>
        <w:t>event assessment.</w:t>
      </w:r>
      <w:r w:rsidR="00DE7E9F">
        <w:rPr>
          <w:color w:val="3C4043"/>
        </w:rPr>
        <w:t xml:space="preserve"> </w:t>
      </w:r>
    </w:p>
    <w:p w14:paraId="0A621EE7" w14:textId="77777777" w:rsidR="00033E68" w:rsidRDefault="00033E68" w:rsidP="00E83B3D">
      <w:pPr>
        <w:spacing w:before="240" w:line="480" w:lineRule="auto"/>
        <w:ind w:left="720"/>
      </w:pPr>
    </w:p>
    <w:p w14:paraId="5FD2CCB1" w14:textId="6D65F4FD" w:rsidR="00362003" w:rsidRDefault="00F42152" w:rsidP="00E83B3D">
      <w:pPr>
        <w:numPr>
          <w:ilvl w:val="0"/>
          <w:numId w:val="2"/>
        </w:numPr>
        <w:spacing w:line="480" w:lineRule="auto"/>
      </w:pPr>
      <w:r>
        <w:rPr>
          <w:i/>
        </w:rPr>
        <w:t>Initial Observational Analyses</w:t>
      </w:r>
      <w:r w:rsidR="000B165A">
        <w:rPr>
          <w:i/>
        </w:rPr>
        <w:t xml:space="preserve">. </w:t>
      </w:r>
      <w:r w:rsidR="000B165A">
        <w:t>A</w:t>
      </w:r>
      <w:r>
        <w:t>n event</w:t>
      </w:r>
      <w:r w:rsidR="00AA560C">
        <w:t xml:space="preserve">, </w:t>
      </w:r>
      <w:r>
        <w:t>perhaps ongoing</w:t>
      </w:r>
      <w:r w:rsidR="00AA560C">
        <w:t>,</w:t>
      </w:r>
      <w:r>
        <w:t xml:space="preserve"> will be promptly</w:t>
      </w:r>
      <w:r w:rsidR="00DE7E9F">
        <w:t xml:space="preserve"> </w:t>
      </w:r>
      <w:r>
        <w:t>characterized</w:t>
      </w:r>
      <w:r w:rsidR="00DE7E9F">
        <w:t xml:space="preserve"> </w:t>
      </w:r>
      <w:r>
        <w:t>relying primarily on core datasets.</w:t>
      </w:r>
      <w:r w:rsidR="00DE7E9F">
        <w:t xml:space="preserve"> </w:t>
      </w:r>
      <w:r>
        <w:t xml:space="preserve"> This </w:t>
      </w:r>
      <w:r w:rsidR="000B165A">
        <w:t>quasi-real-time</w:t>
      </w:r>
      <w:r>
        <w:t xml:space="preserve"> analysis</w:t>
      </w:r>
      <w:r w:rsidR="000B165A">
        <w:t xml:space="preserve"> of </w:t>
      </w:r>
      <w:r w:rsidR="000B165A">
        <w:lastRenderedPageBreak/>
        <w:t>conditions on the ground</w:t>
      </w:r>
      <w:r>
        <w:t xml:space="preserve"> serves several purposes:</w:t>
      </w:r>
      <w:r w:rsidR="00DE7E9F">
        <w:t xml:space="preserve"> </w:t>
      </w:r>
      <w:r>
        <w:t>to hone in on a definition of the event that reflects its “extreme” physical characteristics, to place such events in the historical context of known variability and trends in frequency of occurrence, and to identify proximate drivers for further analysis.</w:t>
      </w:r>
      <w:r w:rsidR="00DE7E9F">
        <w:t xml:space="preserve"> </w:t>
      </w:r>
      <w:r>
        <w:t xml:space="preserve">Issues of data homogeneity, completeness, and quality (Easterling et al, 2016), as well as data latency, and potential missing or delayed observations during extremes are among the challenges in conducting a timely assessment. These difficulties notwithstanding, </w:t>
      </w:r>
      <w:r>
        <w:rPr>
          <w:rFonts w:ascii="Roboto" w:eastAsia="Roboto" w:hAnsi="Roboto" w:cs="Roboto"/>
          <w:color w:val="3C4043"/>
          <w:sz w:val="21"/>
          <w:szCs w:val="21"/>
          <w:highlight w:val="white"/>
        </w:rPr>
        <w:t>t</w:t>
      </w:r>
      <w:r>
        <w:rPr>
          <w:color w:val="3C4043"/>
          <w:highlight w:val="white"/>
        </w:rPr>
        <w:t xml:space="preserve">he objective is to provide </w:t>
      </w:r>
      <w:r w:rsidR="00033E68">
        <w:rPr>
          <w:color w:val="3C4043"/>
          <w:highlight w:val="white"/>
        </w:rPr>
        <w:t xml:space="preserve">timely and accurate </w:t>
      </w:r>
      <w:r>
        <w:rPr>
          <w:color w:val="3C4043"/>
          <w:highlight w:val="white"/>
        </w:rPr>
        <w:t xml:space="preserve">characterization of the event, including placing the extreme event within an appropriate historical context, while withholding statements </w:t>
      </w:r>
      <w:r>
        <w:t xml:space="preserve">on causality until careful diagnosis is completed. </w:t>
      </w:r>
    </w:p>
    <w:p w14:paraId="3503965E" w14:textId="77777777" w:rsidR="0072187B" w:rsidRDefault="0072187B" w:rsidP="00E83B3D">
      <w:pPr>
        <w:spacing w:line="480" w:lineRule="auto"/>
        <w:ind w:left="720"/>
      </w:pPr>
    </w:p>
    <w:p w14:paraId="5EB4777A" w14:textId="676265C6" w:rsidR="004519F0" w:rsidRPr="00026711" w:rsidRDefault="00F42152" w:rsidP="00E83B3D">
      <w:pPr>
        <w:numPr>
          <w:ilvl w:val="0"/>
          <w:numId w:val="2"/>
        </w:numPr>
        <w:spacing w:after="240" w:line="480" w:lineRule="auto"/>
        <w:rPr>
          <w:iCs/>
        </w:rPr>
      </w:pPr>
      <w:r>
        <w:rPr>
          <w:i/>
        </w:rPr>
        <w:t>Detailed causal analysis</w:t>
      </w:r>
      <w:r w:rsidR="00363FA4">
        <w:rPr>
          <w:i/>
        </w:rPr>
        <w:t xml:space="preserve">. </w:t>
      </w:r>
      <w:r w:rsidR="00026711">
        <w:rPr>
          <w:i/>
        </w:rPr>
        <w:t xml:space="preserve">  </w:t>
      </w:r>
      <w:r w:rsidR="00026711" w:rsidRPr="00EE500A">
        <w:rPr>
          <w:iCs/>
        </w:rPr>
        <w:t xml:space="preserve">Following the characterization of the event by observational analysis </w:t>
      </w:r>
      <w:r w:rsidR="00026711">
        <w:rPr>
          <w:iCs/>
        </w:rPr>
        <w:t>a detailed causal analysis will be performed</w:t>
      </w:r>
      <w:r w:rsidR="00026711" w:rsidRPr="00EE500A">
        <w:rPr>
          <w:iCs/>
        </w:rPr>
        <w:t>.</w:t>
      </w:r>
      <w:r w:rsidR="00026711">
        <w:rPr>
          <w:i/>
        </w:rPr>
        <w:t xml:space="preserve"> </w:t>
      </w:r>
      <w:r w:rsidR="00026711">
        <w:rPr>
          <w:iCs/>
        </w:rPr>
        <w:t xml:space="preserve"> </w:t>
      </w:r>
      <w:r w:rsidR="00D74625">
        <w:t xml:space="preserve">The </w:t>
      </w:r>
      <w:r w:rsidR="00D31D86">
        <w:t xml:space="preserve">analysis will focus </w:t>
      </w:r>
      <w:r w:rsidR="00026711">
        <w:t>both on the change in probability of the event</w:t>
      </w:r>
      <w:r w:rsidR="00D31D86">
        <w:t xml:space="preserve"> </w:t>
      </w:r>
      <w:r w:rsidR="00026711">
        <w:t xml:space="preserve">and </w:t>
      </w:r>
      <w:r w:rsidR="00D31D86">
        <w:t xml:space="preserve">on </w:t>
      </w:r>
      <w:r w:rsidR="00026711">
        <w:t>the likely contribution of various causal factors to the magnitude of the event</w:t>
      </w:r>
      <w:r w:rsidR="00EF13C4">
        <w:t xml:space="preserve">, including both thermodynamic and dynamic </w:t>
      </w:r>
      <w:r w:rsidR="000F6039">
        <w:t>drivers</w:t>
      </w:r>
      <w:r w:rsidR="00026711">
        <w:t>.</w:t>
      </w:r>
      <w:r w:rsidR="00026711">
        <w:rPr>
          <w:iCs/>
        </w:rPr>
        <w:t xml:space="preserve"> </w:t>
      </w:r>
      <w:r w:rsidR="00026711">
        <w:t xml:space="preserve">The primary </w:t>
      </w:r>
      <w:r w:rsidR="00D31D86">
        <w:t>objectives of this analysis</w:t>
      </w:r>
      <w:r w:rsidR="00026711">
        <w:t xml:space="preserve"> include determining the unconditional change in probability and magnitude due to anthropogenic forcing as well as the conditional change given various proximate drivers such as coincident SST and sea ice conditions (for example, see the discussion of unconditional and conditional attribution in NAS, 2016).  Other conditioning factors may also be considered, including atmospheric circulation anomalies and antecedent land surface conditions, as motivated by the observational analysis of the event.  </w:t>
      </w:r>
    </w:p>
    <w:p w14:paraId="5476D56B" w14:textId="138C47DD" w:rsidR="00D31D86" w:rsidRDefault="003033FB" w:rsidP="00E83B3D">
      <w:pPr>
        <w:spacing w:line="480" w:lineRule="auto"/>
        <w:ind w:left="720"/>
      </w:pPr>
      <w:r>
        <w:lastRenderedPageBreak/>
        <w:tab/>
        <w:t xml:space="preserve">The primary approach will be probabilistic analysis of the global, large ensembles described above.  Large ensembles allow for a reduction in errors in attribution due to sampling bias and allow for a better characterization of the role of internal variability. </w:t>
      </w:r>
      <w:r w:rsidR="00D31D86">
        <w:t xml:space="preserve"> </w:t>
      </w:r>
      <w:r>
        <w:t xml:space="preserve">AMIP ensembles are included </w:t>
      </w:r>
      <w:r w:rsidR="00D048DA">
        <w:t>among</w:t>
      </w:r>
      <w:r>
        <w:t xml:space="preserve"> the attribution methodologies for several reasons. First, AMIP </w:t>
      </w:r>
      <w:r w:rsidR="00915489">
        <w:t xml:space="preserve">simulations </w:t>
      </w:r>
      <w:r>
        <w:t xml:space="preserve">have a smaller climatological bias than the less constrained coupled simulations.  </w:t>
      </w:r>
      <w:r w:rsidR="00CF4777">
        <w:t xml:space="preserve">Second, </w:t>
      </w:r>
      <w:r w:rsidR="00D31D86">
        <w:t>AMIP simulations</w:t>
      </w:r>
      <w:r>
        <w:t xml:space="preserve"> can be viewed as an “empirically constrained” model that bridges</w:t>
      </w:r>
      <w:r w:rsidR="00D31D86">
        <w:t xml:space="preserve"> the </w:t>
      </w:r>
      <w:r w:rsidR="00D048DA">
        <w:t>g</w:t>
      </w:r>
      <w:r w:rsidR="00D31D86">
        <w:t>ap</w:t>
      </w:r>
      <w:r>
        <w:t xml:space="preserve"> between purely observational analysis and coupled models. </w:t>
      </w:r>
      <w:r w:rsidR="00915489">
        <w:t>Third, they include the specific boundary forcing operating during an event.  For these reasons</w:t>
      </w:r>
      <w:r>
        <w:t xml:space="preserve"> </w:t>
      </w:r>
      <w:r w:rsidR="00915489">
        <w:t>AMIP simulations</w:t>
      </w:r>
      <w:r>
        <w:t xml:space="preserve"> will be particularly useful in elucidating the causes of events where the observed regional trends are not well-aligned with those expected from coupled models</w:t>
      </w:r>
      <w:r w:rsidR="00D31D86">
        <w:t xml:space="preserve"> but are better simulated by the AMIP ensembles</w:t>
      </w:r>
      <w:r>
        <w:t xml:space="preserve">.   </w:t>
      </w:r>
    </w:p>
    <w:p w14:paraId="00F4B485" w14:textId="77777777" w:rsidR="00D31D86" w:rsidRDefault="00D31D86" w:rsidP="00E83B3D">
      <w:pPr>
        <w:spacing w:line="480" w:lineRule="auto"/>
        <w:ind w:left="720"/>
      </w:pPr>
    </w:p>
    <w:p w14:paraId="1C3C6F46" w14:textId="7A2879C7" w:rsidR="00362003" w:rsidRDefault="00F42152" w:rsidP="00E83B3D">
      <w:pPr>
        <w:pStyle w:val="ListParagraph"/>
        <w:numPr>
          <w:ilvl w:val="0"/>
          <w:numId w:val="2"/>
        </w:numPr>
        <w:spacing w:line="480" w:lineRule="auto"/>
      </w:pPr>
      <w:r w:rsidRPr="00D31D86">
        <w:rPr>
          <w:i/>
        </w:rPr>
        <w:t>Communication of event attribution.</w:t>
      </w:r>
      <w:r>
        <w:t xml:space="preserve"> At each stage above we will develop and evaluate possible communications messages, platforms and partners. We will establish a protocol for clear-language statements of causality and changing risks, and the staging of publicly</w:t>
      </w:r>
      <w:r w:rsidR="00C23F88">
        <w:t xml:space="preserve"> </w:t>
      </w:r>
      <w:r>
        <w:t>released information on extreme event assessments.</w:t>
      </w:r>
      <w:r w:rsidR="00D24065">
        <w:t xml:space="preserve"> Considerable synthesis </w:t>
      </w:r>
      <w:r w:rsidR="00C23F88">
        <w:t>will be</w:t>
      </w:r>
      <w:r w:rsidR="00D24065">
        <w:t xml:space="preserve"> needed to bring the different lines of evidence into a coherent set of attribution statements. </w:t>
      </w:r>
      <w:r w:rsidR="00DE7E9F">
        <w:t xml:space="preserve"> </w:t>
      </w:r>
      <w:r>
        <w:t>To help inform planning and policy it will be essential to place the attribution findings in the context of climate projections.</w:t>
      </w:r>
      <w:r w:rsidR="00DE7E9F">
        <w:t xml:space="preserve">  </w:t>
      </w:r>
      <w:r w:rsidR="00270864">
        <w:t>Conditional attribution</w:t>
      </w:r>
      <w:r w:rsidR="001B6A5F">
        <w:t xml:space="preserve"> – that is, attribution that takes into account particular conditioning factors such as</w:t>
      </w:r>
      <w:r w:rsidR="00EC2715">
        <w:t xml:space="preserve"> the phase of</w:t>
      </w:r>
      <w:r w:rsidR="001B6A5F">
        <w:t xml:space="preserve"> El Niño, anomalous atmospheric circulation patterns or other factors that are specific to</w:t>
      </w:r>
      <w:r w:rsidR="00EC2715">
        <w:t xml:space="preserve"> environment in which the extreme event takes place </w:t>
      </w:r>
      <w:proofErr w:type="gramStart"/>
      <w:r w:rsidR="00EC2715">
        <w:t xml:space="preserve">-- </w:t>
      </w:r>
      <w:r w:rsidR="00270864">
        <w:t xml:space="preserve"> allows</w:t>
      </w:r>
      <w:proofErr w:type="gramEnd"/>
      <w:r w:rsidR="00270864">
        <w:t xml:space="preserve"> for “storyline” narratives </w:t>
      </w:r>
      <w:r w:rsidR="00270864">
        <w:lastRenderedPageBreak/>
        <w:t>to bolster credibility where unconditional attribution of global warming impacts is not sufficient (Shepherd, 2014, Lloyd and Oreskes, 2018)</w:t>
      </w:r>
    </w:p>
    <w:p w14:paraId="0107CB97" w14:textId="6D3789E6" w:rsidR="00362003" w:rsidRDefault="00F42152" w:rsidP="00E83B3D">
      <w:pPr>
        <w:spacing w:line="480" w:lineRule="auto"/>
        <w:ind w:left="720" w:firstLine="720"/>
      </w:pPr>
      <w:r>
        <w:t>As a research project within NOAA we will primarily leverage or adapt established capabilities of NOAA NCEI</w:t>
      </w:r>
      <w:r w:rsidR="00DE7E9F">
        <w:t xml:space="preserve"> </w:t>
      </w:r>
      <w:r>
        <w:t>to disseminate results to the public, as NCEI routinely issues climate assessments and summaries in plain-language format</w:t>
      </w:r>
      <w:r w:rsidR="00C82E09">
        <w:t xml:space="preserve"> (see</w:t>
      </w:r>
      <w:r w:rsidR="001B6A5F">
        <w:t xml:space="preserve"> NOAA NCEI, 2021, </w:t>
      </w:r>
      <w:hyperlink r:id="rId8" w:history="1">
        <w:r w:rsidR="001B6A5F" w:rsidRPr="00AC659E">
          <w:rPr>
            <w:rStyle w:val="Hyperlink"/>
          </w:rPr>
          <w:t>https://www.ncei.noaa.gov/news/national-climate-202106</w:t>
        </w:r>
      </w:hyperlink>
      <w:r w:rsidR="001B6A5F">
        <w:t xml:space="preserve"> for an example of a plain language climate assessment)</w:t>
      </w:r>
      <w:r>
        <w:t>.</w:t>
      </w:r>
      <w:r w:rsidR="00DE7E9F">
        <w:t xml:space="preserve"> </w:t>
      </w:r>
      <w:r>
        <w:t xml:space="preserve">We will also issue our reports as research (experimental) products for others in our intended audience. </w:t>
      </w:r>
      <w:r w:rsidR="00A119EF">
        <w:t>As our intended audience spans the technical perspective of disciplinary reviewers and scientists and the broader perspective of decision-makers and the interested public, we recognize the need to communicate at multiple technical and conceptual levels.</w:t>
      </w:r>
    </w:p>
    <w:p w14:paraId="09806FCF" w14:textId="77777777" w:rsidR="0072187B" w:rsidRDefault="0072187B" w:rsidP="00E83B3D">
      <w:pPr>
        <w:spacing w:line="480" w:lineRule="auto"/>
      </w:pPr>
    </w:p>
    <w:p w14:paraId="1F4E1CD6" w14:textId="66E59E9E" w:rsidR="00362003" w:rsidRPr="0072187B" w:rsidRDefault="00F42152" w:rsidP="00E83B3D">
      <w:pPr>
        <w:pStyle w:val="ListParagraph"/>
        <w:numPr>
          <w:ilvl w:val="0"/>
          <w:numId w:val="1"/>
        </w:numPr>
        <w:spacing w:line="480" w:lineRule="auto"/>
        <w:rPr>
          <w:b/>
        </w:rPr>
      </w:pPr>
      <w:r w:rsidRPr="0072187B">
        <w:rPr>
          <w:b/>
        </w:rPr>
        <w:t xml:space="preserve">Concluding </w:t>
      </w:r>
      <w:r w:rsidR="00CD56BB">
        <w:rPr>
          <w:b/>
        </w:rPr>
        <w:t>r</w:t>
      </w:r>
      <w:r w:rsidRPr="0072187B">
        <w:rPr>
          <w:b/>
        </w:rPr>
        <w:t>emarks</w:t>
      </w:r>
    </w:p>
    <w:p w14:paraId="12B4FFE8" w14:textId="15E2BD9C" w:rsidR="00362003" w:rsidRDefault="00205703" w:rsidP="00E83B3D">
      <w:pPr>
        <w:spacing w:line="480" w:lineRule="auto"/>
        <w:ind w:firstLine="720"/>
      </w:pPr>
      <w:r>
        <w:t>T</w:t>
      </w:r>
      <w:r w:rsidR="00F42152">
        <w:t xml:space="preserve">he Texas cold wave of February 2021 </w:t>
      </w:r>
      <w:r>
        <w:t xml:space="preserve">- occurring only a month after project inception - </w:t>
      </w:r>
      <w:r w:rsidR="00F42152">
        <w:t>allowed us to start exercising some of the proposed observational datasets and learn some preliminary lessons.</w:t>
      </w:r>
      <w:r w:rsidR="00DE7E9F">
        <w:t xml:space="preserve"> </w:t>
      </w:r>
      <w:r w:rsidR="00F42152">
        <w:t xml:space="preserve">The first lesson is the extent to which data latency may constrain the </w:t>
      </w:r>
      <w:r>
        <w:t xml:space="preserve">quality and timeliness of an </w:t>
      </w:r>
      <w:r w:rsidR="00F42152">
        <w:t>initial observational analysis.</w:t>
      </w:r>
      <w:r w:rsidR="00DE7E9F">
        <w:t xml:space="preserve"> </w:t>
      </w:r>
      <w:r w:rsidR="00F42152">
        <w:t xml:space="preserve"> A reasonably complete roster of preliminary gridded products and station observations with long period of record was available within 4 days from the peak of the event.</w:t>
      </w:r>
      <w:r w:rsidR="00DE7E9F">
        <w:t xml:space="preserve"> </w:t>
      </w:r>
      <w:r w:rsidR="00F42152">
        <w:t>However</w:t>
      </w:r>
      <w:r>
        <w:t>,</w:t>
      </w:r>
      <w:r w:rsidR="00F42152">
        <w:t xml:space="preserve"> </w:t>
      </w:r>
      <w:r w:rsidR="00033E68">
        <w:t>it was apparent</w:t>
      </w:r>
      <w:r w:rsidR="00F42152">
        <w:t xml:space="preserve"> that several stations in the hardest-hit areas had missing or delayed reports, likely due to power outages.</w:t>
      </w:r>
      <w:r w:rsidR="00DE7E9F">
        <w:t xml:space="preserve"> </w:t>
      </w:r>
      <w:r w:rsidR="00F42152">
        <w:t>As in the analogy of a flood that wipes out stream</w:t>
      </w:r>
      <w:r w:rsidR="00DE7E9F">
        <w:t xml:space="preserve"> </w:t>
      </w:r>
      <w:r w:rsidR="00F42152">
        <w:t>ga</w:t>
      </w:r>
      <w:r w:rsidR="00DE7E9F">
        <w:t>u</w:t>
      </w:r>
      <w:r w:rsidR="00F42152">
        <w:t>ges, the most extreme reports might be missing.</w:t>
      </w:r>
      <w:r w:rsidR="00DE7E9F">
        <w:t xml:space="preserve"> </w:t>
      </w:r>
      <w:r w:rsidR="00F42152">
        <w:t xml:space="preserve"> The second </w:t>
      </w:r>
      <w:r w:rsidR="00473DD0">
        <w:t xml:space="preserve">lesson </w:t>
      </w:r>
      <w:r w:rsidR="00F42152">
        <w:t xml:space="preserve">is the difficulty </w:t>
      </w:r>
      <w:r w:rsidR="00F32033">
        <w:t xml:space="preserve">in </w:t>
      </w:r>
      <w:r w:rsidR="00F42152">
        <w:t>characterizi</w:t>
      </w:r>
      <w:r w:rsidR="00F32033">
        <w:t>ng</w:t>
      </w:r>
      <w:r w:rsidR="00F42152">
        <w:t xml:space="preserve"> the event as it was unfolding. While the severe impacts were focused in the southern Great Plains,</w:t>
      </w:r>
      <w:r w:rsidR="00DE7E9F">
        <w:t xml:space="preserve"> </w:t>
      </w:r>
      <w:r w:rsidR="00F42152">
        <w:rPr>
          <w:color w:val="3C4043"/>
        </w:rPr>
        <w:t xml:space="preserve">the temperature extremes themselves spanned a much larger </w:t>
      </w:r>
      <w:r w:rsidR="00F42152">
        <w:rPr>
          <w:color w:val="3C4043"/>
        </w:rPr>
        <w:lastRenderedPageBreak/>
        <w:t xml:space="preserve">geographical region and emerged earlier (Figure S1a). </w:t>
      </w:r>
      <w:r w:rsidR="00F32033">
        <w:rPr>
          <w:color w:val="3C4043"/>
        </w:rPr>
        <w:t>The best way to</w:t>
      </w:r>
      <w:r w:rsidR="00F42152">
        <w:rPr>
          <w:color w:val="3C4043"/>
        </w:rPr>
        <w:t xml:space="preserve"> define this “extreme event”</w:t>
      </w:r>
      <w:r w:rsidR="00F747CE">
        <w:rPr>
          <w:color w:val="3C4043"/>
        </w:rPr>
        <w:t xml:space="preserve"> </w:t>
      </w:r>
      <w:r w:rsidR="00F42152">
        <w:rPr>
          <w:color w:val="3C4043"/>
        </w:rPr>
        <w:t>from a physical perspective</w:t>
      </w:r>
      <w:r w:rsidR="00F747CE">
        <w:rPr>
          <w:color w:val="3C4043"/>
        </w:rPr>
        <w:t>,</w:t>
      </w:r>
      <w:r w:rsidR="00F42152">
        <w:rPr>
          <w:color w:val="3C4043"/>
        </w:rPr>
        <w:t xml:space="preserve"> </w:t>
      </w:r>
      <w:r w:rsidR="00F747CE">
        <w:rPr>
          <w:color w:val="3C4043"/>
        </w:rPr>
        <w:t xml:space="preserve">taking into account intensity, duration and extent, </w:t>
      </w:r>
      <w:r w:rsidR="00F42152">
        <w:rPr>
          <w:color w:val="3C4043"/>
        </w:rPr>
        <w:t>is not immediately clear.</w:t>
      </w:r>
      <w:r w:rsidR="00DE7E9F">
        <w:rPr>
          <w:color w:val="3C4043"/>
        </w:rPr>
        <w:t xml:space="preserve"> </w:t>
      </w:r>
      <w:r w:rsidR="00F32033">
        <w:rPr>
          <w:color w:val="3C4043"/>
        </w:rPr>
        <w:t>However, it was</w:t>
      </w:r>
      <w:r w:rsidR="00F42152">
        <w:rPr>
          <w:color w:val="3C4043"/>
        </w:rPr>
        <w:t xml:space="preserve"> clear that regional indices (Fig S1b) captured the severity of the event better than a nationwide index</w:t>
      </w:r>
      <w:r>
        <w:rPr>
          <w:color w:val="3C4043"/>
        </w:rPr>
        <w:t>.  Also, a</w:t>
      </w:r>
      <w:r w:rsidR="00232586">
        <w:rPr>
          <w:color w:val="3C4043"/>
        </w:rPr>
        <w:t xml:space="preserve"> notable</w:t>
      </w:r>
      <w:r w:rsidR="00F42152">
        <w:rPr>
          <w:color w:val="3C4043"/>
        </w:rPr>
        <w:t xml:space="preserve"> </w:t>
      </w:r>
      <w:r w:rsidR="00232586">
        <w:rPr>
          <w:color w:val="3C4043"/>
        </w:rPr>
        <w:t xml:space="preserve">negative </w:t>
      </w:r>
      <w:r w:rsidR="00F42152">
        <w:rPr>
          <w:color w:val="3C4043"/>
        </w:rPr>
        <w:t xml:space="preserve">skewness of the temperature distribution </w:t>
      </w:r>
      <w:r>
        <w:rPr>
          <w:color w:val="3C4043"/>
        </w:rPr>
        <w:t>was recognized over the impact region</w:t>
      </w:r>
      <w:r w:rsidR="00915489">
        <w:rPr>
          <w:color w:val="3C4043"/>
        </w:rPr>
        <w:t xml:space="preserve"> – there have been 3-sigma cold events, but no 3-sigma warm events –</w:t>
      </w:r>
      <w:r>
        <w:rPr>
          <w:color w:val="3C4043"/>
        </w:rPr>
        <w:t xml:space="preserve"> al</w:t>
      </w:r>
      <w:r w:rsidR="00703462">
        <w:rPr>
          <w:color w:val="3C4043"/>
        </w:rPr>
        <w:t>erting</w:t>
      </w:r>
      <w:r>
        <w:rPr>
          <w:color w:val="3C4043"/>
        </w:rPr>
        <w:t xml:space="preserve"> </w:t>
      </w:r>
      <w:r w:rsidR="00232586">
        <w:rPr>
          <w:color w:val="3C4043"/>
        </w:rPr>
        <w:t xml:space="preserve">us that unconditional probabilities for an extreme cold wave </w:t>
      </w:r>
      <w:r w:rsidR="00915489">
        <w:rPr>
          <w:color w:val="3C4043"/>
        </w:rPr>
        <w:t xml:space="preserve">are </w:t>
      </w:r>
      <w:r w:rsidR="00232586">
        <w:rPr>
          <w:color w:val="3C4043"/>
        </w:rPr>
        <w:t xml:space="preserve">greater than </w:t>
      </w:r>
      <w:r w:rsidR="00C448C3">
        <w:rPr>
          <w:color w:val="3C4043"/>
        </w:rPr>
        <w:t>had a Gaussian distribution been</w:t>
      </w:r>
      <w:r w:rsidR="00232586">
        <w:rPr>
          <w:color w:val="3C4043"/>
        </w:rPr>
        <w:t xml:space="preserve"> assumed </w:t>
      </w:r>
      <w:r w:rsidR="00F42152">
        <w:rPr>
          <w:color w:val="3C4043"/>
        </w:rPr>
        <w:t>(Fig. S1c</w:t>
      </w:r>
      <w:r w:rsidR="00B34068">
        <w:rPr>
          <w:color w:val="3C4043"/>
        </w:rPr>
        <w:t>, see also Tamarin-Brodsky et al</w:t>
      </w:r>
      <w:r w:rsidR="00777D4D">
        <w:rPr>
          <w:color w:val="3C4043"/>
        </w:rPr>
        <w:t>.</w:t>
      </w:r>
      <w:r w:rsidR="00B34068">
        <w:rPr>
          <w:color w:val="3C4043"/>
        </w:rPr>
        <w:t xml:space="preserve">, 2020, </w:t>
      </w:r>
      <w:proofErr w:type="spellStart"/>
      <w:r w:rsidR="00B34068">
        <w:rPr>
          <w:color w:val="3C4043"/>
        </w:rPr>
        <w:t>Loikith</w:t>
      </w:r>
      <w:proofErr w:type="spellEnd"/>
      <w:r w:rsidR="00B34068">
        <w:rPr>
          <w:color w:val="3C4043"/>
        </w:rPr>
        <w:t xml:space="preserve"> and </w:t>
      </w:r>
      <w:proofErr w:type="spellStart"/>
      <w:r w:rsidR="00B34068">
        <w:rPr>
          <w:color w:val="3C4043"/>
        </w:rPr>
        <w:t>Neelin</w:t>
      </w:r>
      <w:proofErr w:type="spellEnd"/>
      <w:r w:rsidR="00B34068">
        <w:rPr>
          <w:color w:val="3C4043"/>
        </w:rPr>
        <w:t>, 201</w:t>
      </w:r>
      <w:r w:rsidR="006F2BAE">
        <w:rPr>
          <w:color w:val="3C4043"/>
        </w:rPr>
        <w:t>9</w:t>
      </w:r>
      <w:r w:rsidR="00B34068">
        <w:rPr>
          <w:color w:val="3C4043"/>
        </w:rPr>
        <w:t xml:space="preserve">, and </w:t>
      </w:r>
      <w:proofErr w:type="spellStart"/>
      <w:r w:rsidR="00B34068">
        <w:rPr>
          <w:color w:val="3C4043"/>
        </w:rPr>
        <w:t>Sardeshmukh</w:t>
      </w:r>
      <w:proofErr w:type="spellEnd"/>
      <w:r w:rsidR="00B34068">
        <w:rPr>
          <w:color w:val="3C4043"/>
        </w:rPr>
        <w:t xml:space="preserve"> et al, 2015</w:t>
      </w:r>
      <w:r w:rsidR="00F42152">
        <w:rPr>
          <w:color w:val="3C4043"/>
        </w:rPr>
        <w:t>).</w:t>
      </w:r>
      <w:r w:rsidR="00C448C3">
        <w:rPr>
          <w:color w:val="3C4043"/>
        </w:rPr>
        <w:t xml:space="preserve"> Because the project is only starting and the core datasets</w:t>
      </w:r>
      <w:r w:rsidR="00F747CE">
        <w:rPr>
          <w:color w:val="3C4043"/>
        </w:rPr>
        <w:t xml:space="preserve"> are</w:t>
      </w:r>
      <w:r w:rsidR="00C448C3">
        <w:rPr>
          <w:color w:val="3C4043"/>
        </w:rPr>
        <w:t xml:space="preserve"> still under development, these preliminary analyses were used</w:t>
      </w:r>
      <w:r w:rsidR="00F747CE">
        <w:rPr>
          <w:color w:val="3C4043"/>
        </w:rPr>
        <w:t xml:space="preserve"> only</w:t>
      </w:r>
      <w:r w:rsidR="00C448C3">
        <w:rPr>
          <w:color w:val="3C4043"/>
        </w:rPr>
        <w:t xml:space="preserve"> </w:t>
      </w:r>
      <w:r w:rsidR="00F747CE">
        <w:rPr>
          <w:color w:val="3C4043"/>
        </w:rPr>
        <w:t>to guide the research component of the project</w:t>
      </w:r>
      <w:r w:rsidR="00C448C3">
        <w:rPr>
          <w:color w:val="3C4043"/>
        </w:rPr>
        <w:t xml:space="preserve"> and were not disseminated. </w:t>
      </w:r>
      <w:r w:rsidR="00DE7E9F">
        <w:rPr>
          <w:color w:val="3C4043"/>
        </w:rPr>
        <w:t xml:space="preserve"> </w:t>
      </w:r>
    </w:p>
    <w:p w14:paraId="72BCD226" w14:textId="19ED263D" w:rsidR="000B165A" w:rsidRDefault="00F42152" w:rsidP="00E83B3D">
      <w:pPr>
        <w:spacing w:line="480" w:lineRule="auto"/>
        <w:ind w:firstLine="720"/>
      </w:pPr>
      <w:r>
        <w:t xml:space="preserve">Recognizing that event attribution science is an emerging field, rapid attribution will of necessity be provisional. </w:t>
      </w:r>
      <w:r w:rsidR="00940A5C">
        <w:t xml:space="preserve">Different methodological choices can yield different results for the same event (e.g. van </w:t>
      </w:r>
      <w:proofErr w:type="spellStart"/>
      <w:r w:rsidR="00940A5C">
        <w:t>Oldenborgh</w:t>
      </w:r>
      <w:proofErr w:type="spellEnd"/>
      <w:r w:rsidR="00940A5C">
        <w:t xml:space="preserve"> et al., 2017). </w:t>
      </w:r>
      <w:r w:rsidR="0068613B">
        <w:t xml:space="preserve"> </w:t>
      </w:r>
      <w:r w:rsidR="00A1333D">
        <w:t>Therefore</w:t>
      </w:r>
      <w:r w:rsidR="0068613B">
        <w:t>,</w:t>
      </w:r>
      <w:r w:rsidR="00A1333D">
        <w:t xml:space="preserve"> w</w:t>
      </w:r>
      <w:r w:rsidR="00940A5C">
        <w:t>e view the ability to re-attribute past events</w:t>
      </w:r>
      <w:r w:rsidR="00A1333D">
        <w:t xml:space="preserve"> </w:t>
      </w:r>
      <w:r w:rsidR="00A531BF">
        <w:t xml:space="preserve">in order to systematically evaluate methods and datasets </w:t>
      </w:r>
      <w:r w:rsidR="00940A5C">
        <w:t xml:space="preserve">as essential to our research </w:t>
      </w:r>
      <w:r w:rsidR="00CF4777">
        <w:t>project</w:t>
      </w:r>
      <w:r w:rsidR="00940A5C">
        <w:t xml:space="preserve">.  </w:t>
      </w:r>
    </w:p>
    <w:p w14:paraId="44CA29AB" w14:textId="3FFDFA13" w:rsidR="00362003" w:rsidRDefault="00232586" w:rsidP="00E83B3D">
      <w:pPr>
        <w:spacing w:line="480" w:lineRule="auto"/>
        <w:ind w:firstLine="720"/>
      </w:pPr>
      <w:r>
        <w:t xml:space="preserve">The vision for this research project is to establish capabilities central to the development of </w:t>
      </w:r>
      <w:r w:rsidR="00C448C3">
        <w:t xml:space="preserve">a </w:t>
      </w:r>
      <w:r>
        <w:t>NOAA operational event attribution function that would regularly and reliably report on</w:t>
      </w:r>
      <w:r w:rsidR="0029660B">
        <w:t xml:space="preserve"> the likely</w:t>
      </w:r>
      <w:r>
        <w:t xml:space="preserve"> causes of extreme events in the context of climate variability and change.</w:t>
      </w:r>
      <w:r w:rsidR="00C1699E" w:rsidRPr="00C1699E">
        <w:t xml:space="preserve"> </w:t>
      </w:r>
      <w:r w:rsidR="005F35AD">
        <w:t xml:space="preserve">The focus of this prototype development is on extremes in the “United States and outlying territories” (NOAA CPO, 2020).  </w:t>
      </w:r>
      <w:r w:rsidR="00C1699E">
        <w:t>International or interagency collaboration on the attribution of events worldwide can be facilitated through the use of this project’s global public datasets and proposed analysis tools.</w:t>
      </w:r>
      <w:r w:rsidR="00C1699E" w:rsidRPr="00C1699E">
        <w:t xml:space="preserve"> </w:t>
      </w:r>
      <w:r w:rsidR="001A0BDB">
        <w:t>While we are just getting started,</w:t>
      </w:r>
      <w:r w:rsidR="001A0BDB" w:rsidRPr="001A0BDB">
        <w:t xml:space="preserve"> </w:t>
      </w:r>
      <w:r w:rsidR="001A0BDB">
        <w:t xml:space="preserve">our goal is to build a transparent and open extreme event </w:t>
      </w:r>
      <w:r w:rsidR="001A0BDB">
        <w:lastRenderedPageBreak/>
        <w:t xml:space="preserve">attribution system that serves NOAA’s mission to understand and predict changes in climate and weather and </w:t>
      </w:r>
      <w:r w:rsidR="001A0BDB">
        <w:rPr>
          <w:color w:val="202124"/>
          <w:highlight w:val="white"/>
        </w:rPr>
        <w:t>share that knowledge and information with others</w:t>
      </w:r>
      <w:r w:rsidR="001A0BDB">
        <w:rPr>
          <w:color w:val="202124"/>
        </w:rPr>
        <w:t>.</w:t>
      </w:r>
      <w:r w:rsidR="001A0BDB">
        <w:t xml:space="preserve"> </w:t>
      </w:r>
    </w:p>
    <w:p w14:paraId="1AAD5C6A" w14:textId="77777777" w:rsidR="00232586" w:rsidRDefault="00232586" w:rsidP="00E83B3D">
      <w:pPr>
        <w:spacing w:line="480" w:lineRule="auto"/>
        <w:ind w:firstLine="720"/>
      </w:pPr>
    </w:p>
    <w:p w14:paraId="07BF1971" w14:textId="77777777" w:rsidR="0072187B" w:rsidRPr="00F019AD" w:rsidRDefault="0072187B" w:rsidP="00E83B3D">
      <w:pPr>
        <w:pStyle w:val="ComponentName2"/>
        <w:spacing w:line="480" w:lineRule="auto"/>
      </w:pPr>
      <w:r w:rsidRPr="00F019AD">
        <w:t>Acknowledgments</w:t>
      </w:r>
      <w:r>
        <w:t>.</w:t>
      </w:r>
    </w:p>
    <w:p w14:paraId="493FA9BD" w14:textId="2FC1226D" w:rsidR="0072187B" w:rsidRPr="00F019AD" w:rsidRDefault="00232586" w:rsidP="00E83B3D">
      <w:pPr>
        <w:pStyle w:val="ParagraphText"/>
        <w:ind w:firstLine="0"/>
      </w:pPr>
      <w:r>
        <w:t>The project is funded by the NOAA Climate Program Office</w:t>
      </w:r>
      <w:r w:rsidR="00AA560C">
        <w:t>, and in part through the NOAA cooperative agreements with CIRES (NA17OAR4320101) and CISESS</w:t>
      </w:r>
      <w:r w:rsidR="00C448C3">
        <w:t xml:space="preserve">. </w:t>
      </w:r>
      <w:r w:rsidR="000B165A">
        <w:t xml:space="preserve"> We thank Judith </w:t>
      </w:r>
      <w:proofErr w:type="spellStart"/>
      <w:r w:rsidR="000B165A">
        <w:t>Perlwitz</w:t>
      </w:r>
      <w:proofErr w:type="spellEnd"/>
      <w:r w:rsidR="000B165A">
        <w:t xml:space="preserve"> for a</w:t>
      </w:r>
      <w:r w:rsidR="00C448C3">
        <w:t>n</w:t>
      </w:r>
      <w:r w:rsidR="000B165A">
        <w:t xml:space="preserve"> </w:t>
      </w:r>
      <w:r w:rsidR="00C448C3">
        <w:t>insightful</w:t>
      </w:r>
      <w:r w:rsidR="000B165A">
        <w:t xml:space="preserve"> review.</w:t>
      </w:r>
    </w:p>
    <w:p w14:paraId="2A5F9F83" w14:textId="77777777" w:rsidR="00362003" w:rsidRDefault="00362003" w:rsidP="00E83B3D">
      <w:pPr>
        <w:spacing w:line="480" w:lineRule="auto"/>
      </w:pPr>
    </w:p>
    <w:p w14:paraId="317734FD" w14:textId="77777777" w:rsidR="0072187B" w:rsidRDefault="0072187B" w:rsidP="00E83B3D">
      <w:pPr>
        <w:spacing w:line="480" w:lineRule="auto"/>
      </w:pPr>
    </w:p>
    <w:p w14:paraId="1710FF9B" w14:textId="77777777" w:rsidR="00917A76" w:rsidRDefault="00917A76" w:rsidP="00E83B3D">
      <w:pPr>
        <w:spacing w:line="480" w:lineRule="auto"/>
        <w:jc w:val="center"/>
        <w:rPr>
          <w:b/>
        </w:rPr>
      </w:pPr>
    </w:p>
    <w:p w14:paraId="00651CB3" w14:textId="77777777" w:rsidR="001A0BDB" w:rsidRDefault="001A0BDB" w:rsidP="00E83B3D">
      <w:pPr>
        <w:spacing w:line="480" w:lineRule="auto"/>
        <w:jc w:val="center"/>
        <w:rPr>
          <w:b/>
        </w:rPr>
      </w:pPr>
    </w:p>
    <w:p w14:paraId="4538A3EE" w14:textId="26D2CF3D" w:rsidR="00362003" w:rsidRPr="00E83B3D" w:rsidRDefault="0072187B" w:rsidP="00E83B3D">
      <w:pPr>
        <w:spacing w:line="480" w:lineRule="auto"/>
        <w:jc w:val="center"/>
        <w:rPr>
          <w:bCs/>
        </w:rPr>
      </w:pPr>
      <w:r w:rsidRPr="00E83B3D">
        <w:rPr>
          <w:bCs/>
        </w:rPr>
        <w:t>REFERENCES</w:t>
      </w:r>
    </w:p>
    <w:p w14:paraId="28F5A905" w14:textId="6DF070DD" w:rsidR="00362003" w:rsidRDefault="00F42152" w:rsidP="00E83B3D">
      <w:pPr>
        <w:spacing w:before="200" w:line="480" w:lineRule="auto"/>
        <w:rPr>
          <w:color w:val="3C4043"/>
          <w:highlight w:val="white"/>
        </w:rPr>
      </w:pPr>
      <w:proofErr w:type="spellStart"/>
      <w:r>
        <w:rPr>
          <w:color w:val="3C4043"/>
          <w:highlight w:val="white"/>
        </w:rPr>
        <w:t>Amaratunga</w:t>
      </w:r>
      <w:proofErr w:type="spellEnd"/>
      <w:r>
        <w:rPr>
          <w:color w:val="3C4043"/>
          <w:highlight w:val="white"/>
        </w:rPr>
        <w:t xml:space="preserve">, D., </w:t>
      </w:r>
      <w:r w:rsidR="00E83B3D">
        <w:rPr>
          <w:color w:val="3C4043"/>
          <w:highlight w:val="white"/>
        </w:rPr>
        <w:t>and R.</w:t>
      </w:r>
      <w:r>
        <w:rPr>
          <w:color w:val="3C4043"/>
          <w:highlight w:val="white"/>
        </w:rPr>
        <w:t xml:space="preserve"> Haigh, 201</w:t>
      </w:r>
      <w:r w:rsidR="00DD2B6B">
        <w:rPr>
          <w:color w:val="3C4043"/>
          <w:highlight w:val="white"/>
        </w:rPr>
        <w:t>1</w:t>
      </w:r>
      <w:r w:rsidR="00E83B3D">
        <w:rPr>
          <w:color w:val="3C4043"/>
          <w:highlight w:val="white"/>
        </w:rPr>
        <w:t>:</w:t>
      </w:r>
      <w:r w:rsidR="00DD2B6B">
        <w:rPr>
          <w:color w:val="3C4043"/>
          <w:highlight w:val="white"/>
        </w:rPr>
        <w:t xml:space="preserve"> </w:t>
      </w:r>
      <w:r>
        <w:rPr>
          <w:color w:val="3C4043"/>
          <w:highlight w:val="white"/>
        </w:rPr>
        <w:t xml:space="preserve">Post-disaster reconstruction of the built environment: Rebuilding for resilience. </w:t>
      </w:r>
      <w:r w:rsidR="00E83B3D">
        <w:rPr>
          <w:color w:val="3C4043"/>
          <w:highlight w:val="white"/>
        </w:rPr>
        <w:t>J</w:t>
      </w:r>
      <w:r>
        <w:rPr>
          <w:color w:val="3C4043"/>
          <w:highlight w:val="white"/>
        </w:rPr>
        <w:t xml:space="preserve">ohn Wiley </w:t>
      </w:r>
      <w:r w:rsidR="00E83B3D">
        <w:rPr>
          <w:color w:val="3C4043"/>
          <w:highlight w:val="white"/>
        </w:rPr>
        <w:t>and</w:t>
      </w:r>
      <w:r>
        <w:rPr>
          <w:color w:val="3C4043"/>
          <w:highlight w:val="white"/>
        </w:rPr>
        <w:t xml:space="preserve"> </w:t>
      </w:r>
      <w:r w:rsidR="00E83B3D">
        <w:rPr>
          <w:color w:val="3C4043"/>
          <w:highlight w:val="white"/>
        </w:rPr>
        <w:t>S</w:t>
      </w:r>
      <w:r>
        <w:rPr>
          <w:color w:val="3C4043"/>
          <w:highlight w:val="white"/>
        </w:rPr>
        <w:t>ons.</w:t>
      </w:r>
      <w:r w:rsidR="00E83B3D">
        <w:rPr>
          <w:color w:val="3C4043"/>
          <w:highlight w:val="white"/>
        </w:rPr>
        <w:t xml:space="preserve"> 315 pp.</w:t>
      </w:r>
    </w:p>
    <w:p w14:paraId="7361EA32" w14:textId="0923C025" w:rsidR="00362003" w:rsidRDefault="00F42152" w:rsidP="00E83B3D">
      <w:pPr>
        <w:spacing w:before="200" w:line="480" w:lineRule="auto"/>
        <w:rPr>
          <w:color w:val="3C4043"/>
          <w:highlight w:val="white"/>
        </w:rPr>
      </w:pPr>
      <w:proofErr w:type="spellStart"/>
      <w:r>
        <w:rPr>
          <w:color w:val="3C4043"/>
          <w:highlight w:val="white"/>
        </w:rPr>
        <w:t>Birkmann</w:t>
      </w:r>
      <w:proofErr w:type="spellEnd"/>
      <w:r>
        <w:rPr>
          <w:color w:val="3C4043"/>
          <w:highlight w:val="white"/>
        </w:rPr>
        <w:t xml:space="preserve">, J., </w:t>
      </w:r>
      <w:r w:rsidR="00E83B3D">
        <w:rPr>
          <w:color w:val="3C4043"/>
          <w:highlight w:val="white"/>
        </w:rPr>
        <w:t xml:space="preserve">P. </w:t>
      </w:r>
      <w:r>
        <w:rPr>
          <w:color w:val="3C4043"/>
          <w:highlight w:val="white"/>
        </w:rPr>
        <w:t xml:space="preserve">Buckle., </w:t>
      </w:r>
      <w:r w:rsidR="00E83B3D">
        <w:rPr>
          <w:color w:val="3C4043"/>
          <w:highlight w:val="white"/>
        </w:rPr>
        <w:t xml:space="preserve">J. </w:t>
      </w:r>
      <w:r>
        <w:rPr>
          <w:color w:val="3C4043"/>
          <w:highlight w:val="white"/>
        </w:rPr>
        <w:t>Jaeger,</w:t>
      </w:r>
      <w:r w:rsidR="00E83B3D">
        <w:rPr>
          <w:color w:val="3C4043"/>
          <w:highlight w:val="white"/>
        </w:rPr>
        <w:t xml:space="preserve"> M. </w:t>
      </w:r>
      <w:r>
        <w:rPr>
          <w:color w:val="3C4043"/>
          <w:highlight w:val="white"/>
        </w:rPr>
        <w:t xml:space="preserve">Pelling, </w:t>
      </w:r>
      <w:r w:rsidR="00E83B3D">
        <w:rPr>
          <w:color w:val="3C4043"/>
          <w:highlight w:val="white"/>
        </w:rPr>
        <w:t xml:space="preserve">N. </w:t>
      </w:r>
      <w:proofErr w:type="spellStart"/>
      <w:r>
        <w:rPr>
          <w:color w:val="3C4043"/>
          <w:highlight w:val="white"/>
        </w:rPr>
        <w:t>Setiadi</w:t>
      </w:r>
      <w:proofErr w:type="spellEnd"/>
      <w:r>
        <w:rPr>
          <w:color w:val="3C4043"/>
          <w:highlight w:val="white"/>
        </w:rPr>
        <w:t xml:space="preserve">, </w:t>
      </w:r>
      <w:r w:rsidR="00E83B3D">
        <w:rPr>
          <w:color w:val="3C4043"/>
          <w:highlight w:val="white"/>
        </w:rPr>
        <w:t>M.</w:t>
      </w:r>
      <w:r>
        <w:rPr>
          <w:color w:val="3C4043"/>
          <w:highlight w:val="white"/>
        </w:rPr>
        <w:t xml:space="preserve"> </w:t>
      </w:r>
      <w:proofErr w:type="spellStart"/>
      <w:r>
        <w:rPr>
          <w:color w:val="3C4043"/>
          <w:highlight w:val="white"/>
        </w:rPr>
        <w:t>Garschagen</w:t>
      </w:r>
      <w:proofErr w:type="spellEnd"/>
      <w:r>
        <w:rPr>
          <w:color w:val="3C4043"/>
          <w:highlight w:val="white"/>
        </w:rPr>
        <w:t>,</w:t>
      </w:r>
      <w:r w:rsidR="00E83B3D">
        <w:rPr>
          <w:color w:val="3C4043"/>
          <w:highlight w:val="white"/>
        </w:rPr>
        <w:t xml:space="preserve"> N. Fernando, </w:t>
      </w:r>
      <w:proofErr w:type="gramStart"/>
      <w:r w:rsidR="00E83B3D">
        <w:rPr>
          <w:color w:val="3C4043"/>
          <w:highlight w:val="white"/>
        </w:rPr>
        <w:t xml:space="preserve">and </w:t>
      </w:r>
      <w:r>
        <w:rPr>
          <w:color w:val="3C4043"/>
          <w:highlight w:val="white"/>
        </w:rPr>
        <w:t xml:space="preserve"> </w:t>
      </w:r>
      <w:r w:rsidR="00E83B3D">
        <w:rPr>
          <w:color w:val="3C4043"/>
          <w:highlight w:val="white"/>
        </w:rPr>
        <w:t>J.</w:t>
      </w:r>
      <w:proofErr w:type="gramEnd"/>
      <w:r w:rsidR="00E83B3D">
        <w:rPr>
          <w:color w:val="3C4043"/>
          <w:highlight w:val="white"/>
        </w:rPr>
        <w:t xml:space="preserve"> </w:t>
      </w:r>
      <w:r>
        <w:rPr>
          <w:color w:val="3C4043"/>
          <w:highlight w:val="white"/>
        </w:rPr>
        <w:t>Kropp</w:t>
      </w:r>
      <w:r w:rsidR="00E83B3D">
        <w:rPr>
          <w:color w:val="3C4043"/>
          <w:highlight w:val="white"/>
        </w:rPr>
        <w:t xml:space="preserve">, </w:t>
      </w:r>
      <w:r>
        <w:rPr>
          <w:color w:val="3C4043"/>
          <w:highlight w:val="white"/>
        </w:rPr>
        <w:t>2010</w:t>
      </w:r>
      <w:r w:rsidR="00E83B3D">
        <w:rPr>
          <w:color w:val="3C4043"/>
          <w:highlight w:val="white"/>
        </w:rPr>
        <w:t>:</w:t>
      </w:r>
      <w:r>
        <w:rPr>
          <w:color w:val="3C4043"/>
          <w:highlight w:val="white"/>
        </w:rPr>
        <w:t xml:space="preserve"> Extreme events and disasters: a window of opportunity for change? Analysis of organizational, institutional and political changes, formal and informal responses after mega-disasters. </w:t>
      </w:r>
      <w:r w:rsidRPr="00E83B3D">
        <w:rPr>
          <w:i/>
          <w:iCs/>
          <w:color w:val="3C4043"/>
          <w:highlight w:val="white"/>
        </w:rPr>
        <w:t>Na</w:t>
      </w:r>
      <w:r w:rsidR="00DD2B6B">
        <w:rPr>
          <w:i/>
          <w:iCs/>
          <w:color w:val="3C4043"/>
          <w:highlight w:val="white"/>
        </w:rPr>
        <w:t>t.</w:t>
      </w:r>
      <w:r w:rsidRPr="00E83B3D">
        <w:rPr>
          <w:i/>
          <w:iCs/>
          <w:color w:val="3C4043"/>
          <w:highlight w:val="white"/>
        </w:rPr>
        <w:t xml:space="preserve"> </w:t>
      </w:r>
      <w:r w:rsidR="00E83B3D" w:rsidRPr="00E83B3D">
        <w:rPr>
          <w:i/>
          <w:iCs/>
          <w:color w:val="3C4043"/>
          <w:highlight w:val="white"/>
        </w:rPr>
        <w:t>H</w:t>
      </w:r>
      <w:r w:rsidRPr="00E83B3D">
        <w:rPr>
          <w:i/>
          <w:iCs/>
          <w:color w:val="3C4043"/>
          <w:highlight w:val="white"/>
        </w:rPr>
        <w:t>azards</w:t>
      </w:r>
      <w:r>
        <w:rPr>
          <w:color w:val="3C4043"/>
          <w:highlight w:val="white"/>
        </w:rPr>
        <w:t xml:space="preserve">, </w:t>
      </w:r>
      <w:r w:rsidR="00E83B3D" w:rsidRPr="00E83B3D">
        <w:rPr>
          <w:b/>
          <w:bCs/>
          <w:color w:val="3C4043"/>
          <w:highlight w:val="white"/>
        </w:rPr>
        <w:t>55</w:t>
      </w:r>
      <w:r>
        <w:rPr>
          <w:color w:val="3C4043"/>
          <w:highlight w:val="white"/>
        </w:rPr>
        <w:t>, 637-655.</w:t>
      </w:r>
    </w:p>
    <w:p w14:paraId="0E628803" w14:textId="77777777" w:rsidR="00362003" w:rsidRDefault="00F42152" w:rsidP="00E83B3D">
      <w:pPr>
        <w:spacing w:before="200" w:line="480" w:lineRule="auto"/>
        <w:rPr>
          <w:color w:val="333333"/>
          <w:highlight w:val="white"/>
        </w:rPr>
      </w:pPr>
      <w:proofErr w:type="spellStart"/>
      <w:r>
        <w:rPr>
          <w:color w:val="333333"/>
          <w:highlight w:val="white"/>
        </w:rPr>
        <w:t>Christidis</w:t>
      </w:r>
      <w:proofErr w:type="spellEnd"/>
      <w:r>
        <w:rPr>
          <w:color w:val="333333"/>
          <w:highlight w:val="white"/>
        </w:rPr>
        <w:t xml:space="preserve">, N., P. A. Stott, A. A. Scaife, A. </w:t>
      </w:r>
      <w:proofErr w:type="spellStart"/>
      <w:r>
        <w:rPr>
          <w:color w:val="333333"/>
          <w:highlight w:val="white"/>
        </w:rPr>
        <w:t>Arribas</w:t>
      </w:r>
      <w:proofErr w:type="spellEnd"/>
      <w:r>
        <w:rPr>
          <w:color w:val="333333"/>
          <w:highlight w:val="white"/>
        </w:rPr>
        <w:t xml:space="preserve">, G. S. Jones, D. </w:t>
      </w:r>
      <w:proofErr w:type="spellStart"/>
      <w:r>
        <w:rPr>
          <w:color w:val="333333"/>
          <w:highlight w:val="white"/>
        </w:rPr>
        <w:t>Copset</w:t>
      </w:r>
      <w:proofErr w:type="spellEnd"/>
      <w:r>
        <w:rPr>
          <w:color w:val="333333"/>
          <w:highlight w:val="white"/>
        </w:rPr>
        <w:t xml:space="preserve">, J. R. Knight, and W. Tennant, 2013: A new HadGEM3-A-based system for attribution of weather- and climate-related extreme events. </w:t>
      </w:r>
      <w:r>
        <w:rPr>
          <w:i/>
          <w:color w:val="333333"/>
          <w:highlight w:val="white"/>
        </w:rPr>
        <w:t>J. Climate</w:t>
      </w:r>
      <w:r>
        <w:rPr>
          <w:color w:val="333333"/>
          <w:highlight w:val="white"/>
        </w:rPr>
        <w:t xml:space="preserve">, </w:t>
      </w:r>
      <w:r>
        <w:rPr>
          <w:b/>
          <w:color w:val="333333"/>
          <w:highlight w:val="white"/>
        </w:rPr>
        <w:t>26</w:t>
      </w:r>
      <w:r>
        <w:rPr>
          <w:color w:val="333333"/>
          <w:highlight w:val="white"/>
        </w:rPr>
        <w:t xml:space="preserve">, 2756–2783, </w:t>
      </w:r>
      <w:hyperlink r:id="rId9">
        <w:r w:rsidRPr="00DE7E9F">
          <w:rPr>
            <w:color w:val="000000" w:themeColor="text1"/>
            <w:highlight w:val="white"/>
          </w:rPr>
          <w:t>https://doi.org/10.1175/JCLI-D-12-00169.1</w:t>
        </w:r>
      </w:hyperlink>
      <w:r w:rsidRPr="00DE7E9F">
        <w:rPr>
          <w:color w:val="000000" w:themeColor="text1"/>
          <w:highlight w:val="white"/>
        </w:rPr>
        <w:t>.</w:t>
      </w:r>
    </w:p>
    <w:p w14:paraId="2495ECF7" w14:textId="0DAF2CE4" w:rsidR="00F3093B" w:rsidRDefault="00F42152" w:rsidP="00E83B3D">
      <w:pPr>
        <w:spacing w:before="200" w:line="480" w:lineRule="auto"/>
        <w:rPr>
          <w:color w:val="3C4043"/>
          <w:highlight w:val="white"/>
        </w:rPr>
      </w:pPr>
      <w:proofErr w:type="spellStart"/>
      <w:r>
        <w:rPr>
          <w:color w:val="1C1D1E"/>
          <w:highlight w:val="white"/>
        </w:rPr>
        <w:lastRenderedPageBreak/>
        <w:t>Christidis</w:t>
      </w:r>
      <w:proofErr w:type="spellEnd"/>
      <w:r>
        <w:rPr>
          <w:color w:val="1C1D1E"/>
          <w:highlight w:val="white"/>
        </w:rPr>
        <w:t xml:space="preserve"> N, </w:t>
      </w:r>
      <w:r w:rsidR="00E83B3D">
        <w:rPr>
          <w:color w:val="1C1D1E"/>
          <w:highlight w:val="white"/>
        </w:rPr>
        <w:t xml:space="preserve">P. A. </w:t>
      </w:r>
      <w:r>
        <w:rPr>
          <w:color w:val="1C1D1E"/>
          <w:highlight w:val="white"/>
        </w:rPr>
        <w:t>Stot</w:t>
      </w:r>
      <w:r w:rsidR="00E83B3D">
        <w:rPr>
          <w:color w:val="1C1D1E"/>
          <w:highlight w:val="white"/>
        </w:rPr>
        <w:t>t</w:t>
      </w:r>
      <w:r>
        <w:rPr>
          <w:color w:val="1C1D1E"/>
          <w:highlight w:val="white"/>
        </w:rPr>
        <w:t xml:space="preserve">, </w:t>
      </w:r>
      <w:r w:rsidR="00DD2B6B">
        <w:rPr>
          <w:color w:val="1C1D1E"/>
          <w:highlight w:val="white"/>
        </w:rPr>
        <w:t xml:space="preserve">and </w:t>
      </w:r>
      <w:r w:rsidR="00E83B3D">
        <w:rPr>
          <w:color w:val="1C1D1E"/>
          <w:highlight w:val="white"/>
        </w:rPr>
        <w:t xml:space="preserve">F. W. </w:t>
      </w:r>
      <w:r>
        <w:rPr>
          <w:color w:val="1C1D1E"/>
          <w:highlight w:val="white"/>
        </w:rPr>
        <w:t>Zwiers</w:t>
      </w:r>
      <w:r w:rsidR="00E83B3D">
        <w:rPr>
          <w:color w:val="1C1D1E"/>
          <w:highlight w:val="white"/>
        </w:rPr>
        <w:t>, 2014:</w:t>
      </w:r>
      <w:r w:rsidR="00DE7E9F">
        <w:rPr>
          <w:color w:val="1C1D1E"/>
          <w:highlight w:val="white"/>
        </w:rPr>
        <w:t xml:space="preserve"> </w:t>
      </w:r>
      <w:r>
        <w:rPr>
          <w:color w:val="1C1D1E"/>
          <w:highlight w:val="white"/>
        </w:rPr>
        <w:t xml:space="preserve">Fast track attribution assessments based on pre‐computed estimates of changes in the odds of warm extremes. </w:t>
      </w:r>
      <w:proofErr w:type="spellStart"/>
      <w:r>
        <w:rPr>
          <w:i/>
          <w:color w:val="1C1D1E"/>
          <w:highlight w:val="white"/>
        </w:rPr>
        <w:t>Clim</w:t>
      </w:r>
      <w:proofErr w:type="spellEnd"/>
      <w:r w:rsidR="00E83B3D">
        <w:rPr>
          <w:i/>
          <w:color w:val="1C1D1E"/>
          <w:highlight w:val="white"/>
        </w:rPr>
        <w:t>.</w:t>
      </w:r>
      <w:r>
        <w:rPr>
          <w:i/>
          <w:color w:val="1C1D1E"/>
          <w:highlight w:val="white"/>
        </w:rPr>
        <w:t xml:space="preserve"> </w:t>
      </w:r>
      <w:proofErr w:type="spellStart"/>
      <w:r>
        <w:rPr>
          <w:i/>
          <w:color w:val="1C1D1E"/>
          <w:highlight w:val="white"/>
        </w:rPr>
        <w:t>Dyn</w:t>
      </w:r>
      <w:proofErr w:type="spellEnd"/>
      <w:r w:rsidR="00E83B3D">
        <w:rPr>
          <w:i/>
          <w:color w:val="1C1D1E"/>
          <w:highlight w:val="white"/>
        </w:rPr>
        <w:t>.,</w:t>
      </w:r>
      <w:r w:rsidR="00DE7E9F">
        <w:rPr>
          <w:color w:val="1C1D1E"/>
          <w:highlight w:val="white"/>
        </w:rPr>
        <w:t xml:space="preserve"> </w:t>
      </w:r>
      <w:r w:rsidRPr="00E83B3D">
        <w:rPr>
          <w:b/>
          <w:bCs/>
          <w:color w:val="1C1D1E"/>
          <w:highlight w:val="white"/>
        </w:rPr>
        <w:t>45</w:t>
      </w:r>
      <w:r>
        <w:rPr>
          <w:color w:val="1C1D1E"/>
          <w:highlight w:val="white"/>
        </w:rPr>
        <w:t>: 1547– 1564. doi:</w:t>
      </w:r>
      <w:hyperlink r:id="rId10">
        <w:r>
          <w:rPr>
            <w:color w:val="005274"/>
            <w:highlight w:val="white"/>
          </w:rPr>
          <w:t>10.1007/s00382-014-2408-x</w:t>
        </w:r>
      </w:hyperlink>
      <w:r>
        <w:rPr>
          <w:color w:val="1C1D1E"/>
          <w:highlight w:val="white"/>
        </w:rPr>
        <w:t>.</w:t>
      </w:r>
    </w:p>
    <w:p w14:paraId="59028187" w14:textId="7A05B784" w:rsidR="00325271" w:rsidRDefault="00325271" w:rsidP="00325271">
      <w:pPr>
        <w:spacing w:before="200" w:line="480" w:lineRule="auto"/>
        <w:rPr>
          <w:color w:val="212529"/>
        </w:rPr>
      </w:pPr>
      <w:r>
        <w:rPr>
          <w:color w:val="212529"/>
        </w:rPr>
        <w:t xml:space="preserve">Dai, A., 2013: </w:t>
      </w:r>
      <w:r w:rsidRPr="00325271">
        <w:rPr>
          <w:color w:val="212529"/>
        </w:rPr>
        <w:t>Increasing drought under global warming in</w:t>
      </w:r>
      <w:r>
        <w:rPr>
          <w:color w:val="212529"/>
        </w:rPr>
        <w:t xml:space="preserve"> </w:t>
      </w:r>
      <w:r w:rsidRPr="00325271">
        <w:rPr>
          <w:color w:val="212529"/>
        </w:rPr>
        <w:t>observations and models</w:t>
      </w:r>
      <w:r>
        <w:rPr>
          <w:color w:val="212529"/>
        </w:rPr>
        <w:t xml:space="preserve">, </w:t>
      </w:r>
      <w:r w:rsidRPr="00325271">
        <w:rPr>
          <w:i/>
          <w:iCs/>
          <w:color w:val="212529"/>
        </w:rPr>
        <w:t xml:space="preserve">Nat. </w:t>
      </w:r>
      <w:proofErr w:type="spellStart"/>
      <w:r w:rsidRPr="00325271">
        <w:rPr>
          <w:i/>
          <w:iCs/>
          <w:color w:val="212529"/>
        </w:rPr>
        <w:t>Clim</w:t>
      </w:r>
      <w:proofErr w:type="spellEnd"/>
      <w:r w:rsidRPr="00325271">
        <w:rPr>
          <w:i/>
          <w:iCs/>
          <w:color w:val="212529"/>
        </w:rPr>
        <w:t>. Chang</w:t>
      </w:r>
      <w:r>
        <w:rPr>
          <w:color w:val="212529"/>
        </w:rPr>
        <w:t xml:space="preserve">., </w:t>
      </w:r>
      <w:r w:rsidRPr="00325271">
        <w:rPr>
          <w:b/>
          <w:bCs/>
          <w:color w:val="212529"/>
        </w:rPr>
        <w:t>3</w:t>
      </w:r>
      <w:r>
        <w:rPr>
          <w:color w:val="212529"/>
        </w:rPr>
        <w:t>, 52-58. doi</w:t>
      </w:r>
      <w:r w:rsidRPr="00325271">
        <w:rPr>
          <w:color w:val="212529"/>
        </w:rPr>
        <w:t>:10.1038/</w:t>
      </w:r>
      <w:r>
        <w:rPr>
          <w:color w:val="212529"/>
        </w:rPr>
        <w:t>nclimate</w:t>
      </w:r>
      <w:r w:rsidRPr="00325271">
        <w:rPr>
          <w:color w:val="212529"/>
        </w:rPr>
        <w:t>1633</w:t>
      </w:r>
    </w:p>
    <w:p w14:paraId="03615252" w14:textId="30737955" w:rsidR="00E927CD" w:rsidRDefault="00E927CD" w:rsidP="00E83B3D">
      <w:pPr>
        <w:spacing w:before="200" w:line="480" w:lineRule="auto"/>
        <w:rPr>
          <w:color w:val="212529"/>
        </w:rPr>
      </w:pPr>
      <w:proofErr w:type="spellStart"/>
      <w:r w:rsidRPr="00E927CD">
        <w:rPr>
          <w:color w:val="212529"/>
        </w:rPr>
        <w:t>Danabasoglu</w:t>
      </w:r>
      <w:proofErr w:type="spellEnd"/>
      <w:r w:rsidRPr="00E927CD">
        <w:rPr>
          <w:color w:val="212529"/>
        </w:rPr>
        <w:t>, G., and</w:t>
      </w:r>
      <w:r w:rsidR="00E83B3D">
        <w:rPr>
          <w:color w:val="212529"/>
        </w:rPr>
        <w:t xml:space="preserve"> Coauthors</w:t>
      </w:r>
      <w:r w:rsidRPr="00E927CD">
        <w:rPr>
          <w:color w:val="212529"/>
        </w:rPr>
        <w:t xml:space="preserve">, 2020: The Community Earth System Model version 2 (CESM2). </w:t>
      </w:r>
      <w:r w:rsidRPr="00DD2B6B">
        <w:rPr>
          <w:i/>
          <w:iCs/>
          <w:color w:val="212529"/>
        </w:rPr>
        <w:t>J. Adv. Model. Earth Syst.</w:t>
      </w:r>
      <w:r w:rsidRPr="00E927CD">
        <w:rPr>
          <w:color w:val="212529"/>
        </w:rPr>
        <w:t xml:space="preserve">, 12, e2019MS001916, </w:t>
      </w:r>
      <w:proofErr w:type="spellStart"/>
      <w:r w:rsidRPr="00DD2B6B">
        <w:t>doi</w:t>
      </w:r>
      <w:proofErr w:type="spellEnd"/>
      <w:r w:rsidR="00DD2B6B" w:rsidRPr="00DD2B6B">
        <w:t xml:space="preserve">: </w:t>
      </w:r>
      <w:r w:rsidRPr="00DD2B6B">
        <w:t>10.1029/2019MS001916</w:t>
      </w:r>
      <w:r w:rsidRPr="00E927CD">
        <w:rPr>
          <w:color w:val="212529"/>
        </w:rPr>
        <w:t>.</w:t>
      </w:r>
    </w:p>
    <w:p w14:paraId="2DAFF894" w14:textId="5D353D33" w:rsidR="00F3093B" w:rsidRPr="00F3093B" w:rsidRDefault="00F3093B" w:rsidP="00E83B3D">
      <w:pPr>
        <w:spacing w:before="200" w:line="480" w:lineRule="auto"/>
        <w:rPr>
          <w:color w:val="212529"/>
        </w:rPr>
      </w:pPr>
      <w:proofErr w:type="spellStart"/>
      <w:r w:rsidRPr="00F3093B">
        <w:rPr>
          <w:color w:val="212529"/>
        </w:rPr>
        <w:t>Delworth</w:t>
      </w:r>
      <w:proofErr w:type="spellEnd"/>
      <w:r w:rsidRPr="00F3093B">
        <w:rPr>
          <w:color w:val="212529"/>
        </w:rPr>
        <w:t>, T. L., et al.</w:t>
      </w:r>
      <w:r w:rsidR="00DD2B6B">
        <w:rPr>
          <w:color w:val="212529"/>
        </w:rPr>
        <w:t xml:space="preserve">, </w:t>
      </w:r>
      <w:r w:rsidRPr="00F3093B">
        <w:rPr>
          <w:color w:val="212529"/>
        </w:rPr>
        <w:t>2020</w:t>
      </w:r>
      <w:r w:rsidR="00DD2B6B">
        <w:rPr>
          <w:color w:val="212529"/>
        </w:rPr>
        <w:t>:</w:t>
      </w:r>
      <w:r w:rsidRPr="00F3093B">
        <w:rPr>
          <w:color w:val="212529"/>
        </w:rPr>
        <w:t> </w:t>
      </w:r>
      <w:r w:rsidRPr="00F3093B">
        <w:rPr>
          <w:color w:val="000000" w:themeColor="text1"/>
        </w:rPr>
        <w:t xml:space="preserve">SPEAR: The Next Generation GFDL Modeling System for Seasonal to Multidecadal Prediction and Projection. </w:t>
      </w:r>
      <w:r w:rsidR="00DD2B6B" w:rsidRPr="00DD2B6B">
        <w:rPr>
          <w:i/>
          <w:iCs/>
          <w:color w:val="212529"/>
        </w:rPr>
        <w:t>J. Adv. Model. Earth Syst.</w:t>
      </w:r>
      <w:r w:rsidRPr="00DD2B6B">
        <w:rPr>
          <w:i/>
          <w:iCs/>
          <w:color w:val="212529"/>
        </w:rPr>
        <w:t xml:space="preserve">, </w:t>
      </w:r>
      <w:r w:rsidRPr="00DD2B6B">
        <w:rPr>
          <w:b/>
          <w:bCs/>
          <w:color w:val="212529"/>
        </w:rPr>
        <w:t>12</w:t>
      </w:r>
      <w:r w:rsidRPr="00F3093B">
        <w:rPr>
          <w:color w:val="212529"/>
        </w:rPr>
        <w:t>, e2019MS001895.</w:t>
      </w:r>
    </w:p>
    <w:p w14:paraId="6623CD65" w14:textId="5AB8789C" w:rsidR="00362003" w:rsidRDefault="00F42152" w:rsidP="00E83B3D">
      <w:pPr>
        <w:spacing w:before="200" w:line="480" w:lineRule="auto"/>
        <w:rPr>
          <w:color w:val="3C4043"/>
          <w:highlight w:val="white"/>
        </w:rPr>
      </w:pPr>
      <w:r>
        <w:rPr>
          <w:color w:val="3C4043"/>
          <w:highlight w:val="white"/>
        </w:rPr>
        <w:t>Easterling, D. R.</w:t>
      </w:r>
      <w:r w:rsidR="00DD2B6B">
        <w:rPr>
          <w:color w:val="3C4043"/>
          <w:highlight w:val="white"/>
        </w:rPr>
        <w:t xml:space="preserve">, K. E. </w:t>
      </w:r>
      <w:r>
        <w:rPr>
          <w:color w:val="3C4043"/>
          <w:highlight w:val="white"/>
        </w:rPr>
        <w:t xml:space="preserve">Kunkel, M. F. </w:t>
      </w:r>
      <w:proofErr w:type="spellStart"/>
      <w:r>
        <w:rPr>
          <w:color w:val="3C4043"/>
          <w:highlight w:val="white"/>
        </w:rPr>
        <w:t>Wehner</w:t>
      </w:r>
      <w:proofErr w:type="spellEnd"/>
      <w:r>
        <w:rPr>
          <w:color w:val="3C4043"/>
          <w:highlight w:val="white"/>
        </w:rPr>
        <w:t xml:space="preserve">, </w:t>
      </w:r>
      <w:r w:rsidR="00DD2B6B">
        <w:rPr>
          <w:color w:val="3C4043"/>
          <w:highlight w:val="white"/>
        </w:rPr>
        <w:t xml:space="preserve">and </w:t>
      </w:r>
      <w:r>
        <w:rPr>
          <w:color w:val="3C4043"/>
          <w:highlight w:val="white"/>
        </w:rPr>
        <w:t>L. Sun, 2016</w:t>
      </w:r>
      <w:r w:rsidR="00DD2B6B">
        <w:rPr>
          <w:color w:val="3C4043"/>
          <w:highlight w:val="white"/>
        </w:rPr>
        <w:t>:</w:t>
      </w:r>
      <w:r>
        <w:rPr>
          <w:color w:val="3C4043"/>
          <w:highlight w:val="white"/>
        </w:rPr>
        <w:t xml:space="preserve"> Detection and attribution of climate extremes in the observed record, </w:t>
      </w:r>
      <w:r>
        <w:rPr>
          <w:i/>
          <w:color w:val="3C4043"/>
          <w:highlight w:val="white"/>
        </w:rPr>
        <w:t>Wea</w:t>
      </w:r>
      <w:r w:rsidR="00BB584C">
        <w:rPr>
          <w:i/>
          <w:color w:val="3C4043"/>
          <w:highlight w:val="white"/>
        </w:rPr>
        <w:t xml:space="preserve">. </w:t>
      </w:r>
      <w:r>
        <w:rPr>
          <w:i/>
          <w:color w:val="3C4043"/>
          <w:highlight w:val="white"/>
        </w:rPr>
        <w:t>Clim</w:t>
      </w:r>
      <w:r w:rsidR="00BB584C">
        <w:rPr>
          <w:i/>
          <w:color w:val="3C4043"/>
          <w:highlight w:val="white"/>
        </w:rPr>
        <w:t>.</w:t>
      </w:r>
      <w:r>
        <w:rPr>
          <w:i/>
          <w:color w:val="3C4043"/>
          <w:highlight w:val="white"/>
        </w:rPr>
        <w:t xml:space="preserve"> Extremes</w:t>
      </w:r>
      <w:r>
        <w:rPr>
          <w:color w:val="3C4043"/>
          <w:highlight w:val="white"/>
        </w:rPr>
        <w:t>,</w:t>
      </w:r>
      <w:r>
        <w:rPr>
          <w:b/>
          <w:color w:val="3C4043"/>
          <w:highlight w:val="white"/>
        </w:rPr>
        <w:t>11</w:t>
      </w:r>
      <w:r>
        <w:rPr>
          <w:color w:val="3C4043"/>
          <w:highlight w:val="white"/>
        </w:rPr>
        <w:t>, 17-27</w:t>
      </w:r>
    </w:p>
    <w:p w14:paraId="3ABA8E60" w14:textId="2CCBCC1A" w:rsidR="00D5757A" w:rsidRDefault="00D5757A" w:rsidP="00E83B3D">
      <w:pPr>
        <w:spacing w:before="200" w:line="480" w:lineRule="auto"/>
        <w:rPr>
          <w:color w:val="3C4043"/>
        </w:rPr>
      </w:pPr>
      <w:r w:rsidRPr="00D5757A">
        <w:rPr>
          <w:color w:val="3C4043"/>
        </w:rPr>
        <w:t xml:space="preserve">Eyring, V., </w:t>
      </w:r>
      <w:r w:rsidR="00DD2B6B">
        <w:rPr>
          <w:color w:val="3C4043"/>
        </w:rPr>
        <w:t xml:space="preserve">S. </w:t>
      </w:r>
      <w:r w:rsidRPr="00D5757A">
        <w:rPr>
          <w:color w:val="3C4043"/>
        </w:rPr>
        <w:t xml:space="preserve">Bony, </w:t>
      </w:r>
      <w:r w:rsidR="00DD2B6B">
        <w:rPr>
          <w:color w:val="3C4043"/>
        </w:rPr>
        <w:t xml:space="preserve">G. A. </w:t>
      </w:r>
      <w:proofErr w:type="spellStart"/>
      <w:r w:rsidRPr="00D5757A">
        <w:rPr>
          <w:color w:val="3C4043"/>
        </w:rPr>
        <w:t>Meehl</w:t>
      </w:r>
      <w:proofErr w:type="spellEnd"/>
      <w:r w:rsidRPr="00D5757A">
        <w:rPr>
          <w:color w:val="3C4043"/>
        </w:rPr>
        <w:t xml:space="preserve">, </w:t>
      </w:r>
      <w:r w:rsidR="00DD2B6B">
        <w:rPr>
          <w:color w:val="3C4043"/>
        </w:rPr>
        <w:t xml:space="preserve">C. A. </w:t>
      </w:r>
      <w:r w:rsidRPr="00D5757A">
        <w:rPr>
          <w:color w:val="3C4043"/>
        </w:rPr>
        <w:t xml:space="preserve">Senior, </w:t>
      </w:r>
      <w:r w:rsidR="00DD2B6B">
        <w:rPr>
          <w:color w:val="3C4043"/>
        </w:rPr>
        <w:t xml:space="preserve">B. </w:t>
      </w:r>
      <w:r w:rsidRPr="00D5757A">
        <w:rPr>
          <w:color w:val="3C4043"/>
        </w:rPr>
        <w:t xml:space="preserve">Stevens, </w:t>
      </w:r>
      <w:r w:rsidR="00DD2B6B">
        <w:rPr>
          <w:color w:val="3C4043"/>
        </w:rPr>
        <w:t xml:space="preserve">R. J. </w:t>
      </w:r>
      <w:r w:rsidRPr="00D5757A">
        <w:rPr>
          <w:color w:val="3C4043"/>
        </w:rPr>
        <w:t xml:space="preserve">Stouffer, and </w:t>
      </w:r>
      <w:r w:rsidR="00DD2B6B">
        <w:rPr>
          <w:color w:val="3C4043"/>
        </w:rPr>
        <w:t xml:space="preserve">K. E. </w:t>
      </w:r>
      <w:r w:rsidRPr="00D5757A">
        <w:rPr>
          <w:color w:val="3C4043"/>
        </w:rPr>
        <w:t>Taylor</w:t>
      </w:r>
      <w:r w:rsidR="00DD2B6B">
        <w:rPr>
          <w:color w:val="3C4043"/>
        </w:rPr>
        <w:t>, 2016</w:t>
      </w:r>
      <w:r w:rsidRPr="00D5757A">
        <w:rPr>
          <w:color w:val="3C4043"/>
        </w:rPr>
        <w:t xml:space="preserve">: Overview of the Coupled Model Intercomparison Project Phase 6 (CMIP6) experimental design and organization, </w:t>
      </w:r>
      <w:proofErr w:type="spellStart"/>
      <w:r w:rsidRPr="00DD2B6B">
        <w:rPr>
          <w:i/>
          <w:iCs/>
          <w:color w:val="3C4043"/>
        </w:rPr>
        <w:t>Geosci</w:t>
      </w:r>
      <w:proofErr w:type="spellEnd"/>
      <w:r w:rsidRPr="00DD2B6B">
        <w:rPr>
          <w:i/>
          <w:iCs/>
          <w:color w:val="3C4043"/>
        </w:rPr>
        <w:t>. Model Dev</w:t>
      </w:r>
      <w:r w:rsidRPr="00D5757A">
        <w:rPr>
          <w:color w:val="3C4043"/>
        </w:rPr>
        <w:t xml:space="preserve">., </w:t>
      </w:r>
      <w:r w:rsidRPr="00DD2B6B">
        <w:rPr>
          <w:b/>
          <w:bCs/>
          <w:color w:val="3C4043"/>
        </w:rPr>
        <w:t>9</w:t>
      </w:r>
      <w:r w:rsidRPr="00D5757A">
        <w:rPr>
          <w:color w:val="3C4043"/>
        </w:rPr>
        <w:t xml:space="preserve">, 1937–1958, </w:t>
      </w:r>
      <w:r w:rsidR="00DD2B6B">
        <w:rPr>
          <w:color w:val="3C4043"/>
        </w:rPr>
        <w:t>doi:</w:t>
      </w:r>
      <w:r w:rsidRPr="00D5757A">
        <w:rPr>
          <w:color w:val="3C4043"/>
        </w:rPr>
        <w:t>10.5194/gmd-9-1937-2016, 2016.</w:t>
      </w:r>
    </w:p>
    <w:p w14:paraId="5ADD74A3" w14:textId="253B6DDB" w:rsidR="00D3339B" w:rsidRDefault="00D3339B" w:rsidP="00E83B3D">
      <w:pPr>
        <w:spacing w:before="200" w:line="480" w:lineRule="auto"/>
        <w:rPr>
          <w:color w:val="3C4043"/>
        </w:rPr>
      </w:pPr>
      <w:r w:rsidRPr="00D3339B">
        <w:rPr>
          <w:color w:val="3C4043"/>
        </w:rPr>
        <w:t xml:space="preserve">Gates, W. L., </w:t>
      </w:r>
      <w:r w:rsidR="00DD2B6B">
        <w:rPr>
          <w:color w:val="3C4043"/>
        </w:rPr>
        <w:t>and Coauthors,</w:t>
      </w:r>
      <w:r w:rsidRPr="00D3339B">
        <w:rPr>
          <w:color w:val="3C4043"/>
        </w:rPr>
        <w:t>1999</w:t>
      </w:r>
      <w:r w:rsidR="00DD2B6B">
        <w:rPr>
          <w:color w:val="3C4043"/>
        </w:rPr>
        <w:t>:</w:t>
      </w:r>
      <w:r w:rsidRPr="00D3339B">
        <w:rPr>
          <w:color w:val="3C4043"/>
        </w:rPr>
        <w:t xml:space="preserve"> An Overview of the Results of the Atmospheric Model Intercomparison Project (AMIP I), </w:t>
      </w:r>
      <w:r w:rsidR="00DD2B6B">
        <w:rPr>
          <w:i/>
          <w:color w:val="1C1D1E"/>
          <w:highlight w:val="white"/>
        </w:rPr>
        <w:t>Bull Amer. Meteor. Soc</w:t>
      </w:r>
      <w:r w:rsidRPr="00D3339B">
        <w:rPr>
          <w:color w:val="3C4043"/>
        </w:rPr>
        <w:t xml:space="preserve">, </w:t>
      </w:r>
      <w:r w:rsidRPr="00DD2B6B">
        <w:rPr>
          <w:b/>
          <w:bCs/>
          <w:color w:val="3C4043"/>
        </w:rPr>
        <w:t>80</w:t>
      </w:r>
      <w:r w:rsidRPr="00D3339B">
        <w:rPr>
          <w:color w:val="3C4043"/>
        </w:rPr>
        <w:t xml:space="preserve">, 29-56. </w:t>
      </w:r>
    </w:p>
    <w:p w14:paraId="068B8C03" w14:textId="25236B70" w:rsidR="00362003" w:rsidRDefault="00F42152" w:rsidP="00E83B3D">
      <w:pPr>
        <w:spacing w:before="200" w:line="480" w:lineRule="auto"/>
        <w:rPr>
          <w:color w:val="3C4043"/>
          <w:highlight w:val="white"/>
        </w:rPr>
      </w:pPr>
      <w:r>
        <w:rPr>
          <w:color w:val="3C4043"/>
          <w:highlight w:val="white"/>
        </w:rPr>
        <w:t>Gregory, J. M., J. F. B. Michell, and A. J. Brady, 1997: Summer drought</w:t>
      </w:r>
      <w:r w:rsidR="00DE7E9F">
        <w:rPr>
          <w:color w:val="3C4043"/>
          <w:highlight w:val="white"/>
        </w:rPr>
        <w:t xml:space="preserve"> </w:t>
      </w:r>
      <w:r>
        <w:rPr>
          <w:color w:val="3C4043"/>
          <w:highlight w:val="white"/>
        </w:rPr>
        <w:t>in northern midlatitudes in a time-dependent CO2 climate experiment.</w:t>
      </w:r>
      <w:r w:rsidR="00DE7E9F">
        <w:rPr>
          <w:color w:val="3C4043"/>
          <w:highlight w:val="white"/>
        </w:rPr>
        <w:t xml:space="preserve"> </w:t>
      </w:r>
      <w:r>
        <w:rPr>
          <w:i/>
          <w:color w:val="3C4043"/>
          <w:highlight w:val="white"/>
        </w:rPr>
        <w:t>J. Climate</w:t>
      </w:r>
      <w:r>
        <w:rPr>
          <w:color w:val="3C4043"/>
          <w:highlight w:val="white"/>
        </w:rPr>
        <w:t xml:space="preserve">, </w:t>
      </w:r>
      <w:r w:rsidRPr="00DD2B6B">
        <w:rPr>
          <w:b/>
          <w:bCs/>
          <w:color w:val="3C4043"/>
          <w:highlight w:val="white"/>
        </w:rPr>
        <w:t>10</w:t>
      </w:r>
      <w:r>
        <w:rPr>
          <w:color w:val="3C4043"/>
          <w:highlight w:val="white"/>
        </w:rPr>
        <w:t>, 662-686.</w:t>
      </w:r>
    </w:p>
    <w:p w14:paraId="32870D48" w14:textId="4D16428F" w:rsidR="00362003" w:rsidRDefault="00F42152" w:rsidP="00E83B3D">
      <w:pPr>
        <w:spacing w:before="200" w:line="480" w:lineRule="auto"/>
        <w:rPr>
          <w:color w:val="1C1D1E"/>
          <w:highlight w:val="white"/>
        </w:rPr>
      </w:pPr>
      <w:r>
        <w:rPr>
          <w:color w:val="1C1D1E"/>
          <w:highlight w:val="white"/>
        </w:rPr>
        <w:lastRenderedPageBreak/>
        <w:t xml:space="preserve">Herring SC, N. </w:t>
      </w:r>
      <w:proofErr w:type="spellStart"/>
      <w:r>
        <w:rPr>
          <w:color w:val="1C1D1E"/>
          <w:highlight w:val="white"/>
        </w:rPr>
        <w:t>Christidis</w:t>
      </w:r>
      <w:proofErr w:type="spellEnd"/>
      <w:r>
        <w:rPr>
          <w:color w:val="1C1D1E"/>
          <w:highlight w:val="white"/>
        </w:rPr>
        <w:t xml:space="preserve">, A. </w:t>
      </w:r>
      <w:proofErr w:type="spellStart"/>
      <w:r>
        <w:rPr>
          <w:color w:val="1C1D1E"/>
          <w:highlight w:val="white"/>
        </w:rPr>
        <w:t>Hoell</w:t>
      </w:r>
      <w:proofErr w:type="spellEnd"/>
      <w:r>
        <w:rPr>
          <w:color w:val="1C1D1E"/>
          <w:highlight w:val="white"/>
        </w:rPr>
        <w:t xml:space="preserve">, M. </w:t>
      </w:r>
      <w:proofErr w:type="spellStart"/>
      <w:r>
        <w:rPr>
          <w:color w:val="1C1D1E"/>
          <w:highlight w:val="white"/>
        </w:rPr>
        <w:t>Hoerling</w:t>
      </w:r>
      <w:proofErr w:type="spellEnd"/>
      <w:r>
        <w:rPr>
          <w:color w:val="1C1D1E"/>
          <w:highlight w:val="white"/>
        </w:rPr>
        <w:t xml:space="preserve">, and P. Stott, 2021: Explaining extreme events of 2019 from a climate perspective. </w:t>
      </w:r>
      <w:r>
        <w:rPr>
          <w:i/>
          <w:color w:val="1C1D1E"/>
          <w:highlight w:val="white"/>
        </w:rPr>
        <w:t>Bull Amer. Meteor. Soc</w:t>
      </w:r>
      <w:r>
        <w:rPr>
          <w:color w:val="1C1D1E"/>
          <w:highlight w:val="white"/>
        </w:rPr>
        <w:t>,</w:t>
      </w:r>
      <w:r w:rsidR="00DE7E9F">
        <w:rPr>
          <w:color w:val="1C1D1E"/>
          <w:highlight w:val="white"/>
        </w:rPr>
        <w:t xml:space="preserve"> </w:t>
      </w:r>
      <w:proofErr w:type="gramStart"/>
      <w:r>
        <w:rPr>
          <w:color w:val="1C1D1E"/>
          <w:highlight w:val="white"/>
        </w:rPr>
        <w:t>102</w:t>
      </w:r>
      <w:r w:rsidR="00DD2B6B">
        <w:rPr>
          <w:color w:val="1C1D1E"/>
          <w:highlight w:val="white"/>
        </w:rPr>
        <w:t xml:space="preserve">, </w:t>
      </w:r>
      <w:r>
        <w:rPr>
          <w:color w:val="1C1D1E"/>
          <w:highlight w:val="white"/>
        </w:rPr>
        <w:t xml:space="preserve"> S</w:t>
      </w:r>
      <w:proofErr w:type="gramEnd"/>
      <w:r>
        <w:rPr>
          <w:color w:val="1C1D1E"/>
          <w:highlight w:val="white"/>
        </w:rPr>
        <w:t>1– S116.</w:t>
      </w:r>
    </w:p>
    <w:p w14:paraId="021553DC" w14:textId="77777777" w:rsidR="00362003" w:rsidRDefault="00F42152" w:rsidP="00E83B3D">
      <w:pPr>
        <w:spacing w:before="200" w:line="480" w:lineRule="auto"/>
        <w:rPr>
          <w:color w:val="1C1D1E"/>
          <w:highlight w:val="white"/>
        </w:rPr>
      </w:pPr>
      <w:proofErr w:type="spellStart"/>
      <w:r>
        <w:rPr>
          <w:color w:val="1C1D1E"/>
          <w:highlight w:val="white"/>
        </w:rPr>
        <w:t>Hoerling</w:t>
      </w:r>
      <w:proofErr w:type="spellEnd"/>
      <w:r>
        <w:rPr>
          <w:color w:val="1C1D1E"/>
          <w:highlight w:val="white"/>
        </w:rPr>
        <w:t xml:space="preserve">, M., J. Barsugli, B. </w:t>
      </w:r>
      <w:proofErr w:type="spellStart"/>
      <w:r>
        <w:rPr>
          <w:color w:val="1C1D1E"/>
          <w:highlight w:val="white"/>
        </w:rPr>
        <w:t>Livneh</w:t>
      </w:r>
      <w:proofErr w:type="spellEnd"/>
      <w:r>
        <w:rPr>
          <w:color w:val="1C1D1E"/>
          <w:highlight w:val="white"/>
        </w:rPr>
        <w:t xml:space="preserve">, J. </w:t>
      </w:r>
      <w:proofErr w:type="spellStart"/>
      <w:r>
        <w:rPr>
          <w:color w:val="1C1D1E"/>
          <w:highlight w:val="white"/>
        </w:rPr>
        <w:t>Eischeid</w:t>
      </w:r>
      <w:proofErr w:type="spellEnd"/>
      <w:r>
        <w:rPr>
          <w:color w:val="1C1D1E"/>
          <w:highlight w:val="white"/>
        </w:rPr>
        <w:t>, X. Quan, and A. Badger, 2019: Causes for the century-long decline in Colorado River flow.</w:t>
      </w:r>
      <w:r w:rsidR="00DE7E9F">
        <w:rPr>
          <w:color w:val="1C1D1E"/>
          <w:highlight w:val="white"/>
        </w:rPr>
        <w:t xml:space="preserve"> </w:t>
      </w:r>
      <w:r>
        <w:rPr>
          <w:i/>
          <w:color w:val="1C1D1E"/>
          <w:highlight w:val="white"/>
        </w:rPr>
        <w:t>J. Climate</w:t>
      </w:r>
      <w:r>
        <w:rPr>
          <w:color w:val="1C1D1E"/>
          <w:highlight w:val="white"/>
        </w:rPr>
        <w:t xml:space="preserve">, </w:t>
      </w:r>
      <w:r w:rsidRPr="00DD2B6B">
        <w:rPr>
          <w:b/>
          <w:bCs/>
          <w:color w:val="1C1D1E"/>
          <w:highlight w:val="white"/>
        </w:rPr>
        <w:t>32</w:t>
      </w:r>
      <w:r>
        <w:rPr>
          <w:color w:val="1C1D1E"/>
          <w:highlight w:val="white"/>
        </w:rPr>
        <w:t>, 8181-8203.</w:t>
      </w:r>
    </w:p>
    <w:p w14:paraId="073EC417" w14:textId="14C992E3" w:rsidR="00362003" w:rsidRDefault="00F42152" w:rsidP="00E83B3D">
      <w:pPr>
        <w:spacing w:before="200" w:line="480" w:lineRule="auto"/>
        <w:rPr>
          <w:color w:val="1C1D1E"/>
          <w:highlight w:val="white"/>
        </w:rPr>
      </w:pPr>
      <w:r>
        <w:rPr>
          <w:color w:val="1C1D1E"/>
          <w:highlight w:val="white"/>
        </w:rPr>
        <w:t>Hulme M</w:t>
      </w:r>
      <w:r w:rsidR="00DD2B6B">
        <w:rPr>
          <w:color w:val="1C1D1E"/>
          <w:highlight w:val="white"/>
        </w:rPr>
        <w:t>.</w:t>
      </w:r>
      <w:r>
        <w:rPr>
          <w:color w:val="1C1D1E"/>
          <w:highlight w:val="white"/>
        </w:rPr>
        <w:t xml:space="preserve">, </w:t>
      </w:r>
      <w:r w:rsidR="00DD2B6B">
        <w:rPr>
          <w:color w:val="1C1D1E"/>
          <w:highlight w:val="white"/>
        </w:rPr>
        <w:t xml:space="preserve">S. </w:t>
      </w:r>
      <w:r>
        <w:rPr>
          <w:color w:val="1C1D1E"/>
          <w:highlight w:val="white"/>
        </w:rPr>
        <w:t xml:space="preserve">O'Neill, </w:t>
      </w:r>
      <w:r w:rsidR="00DD2B6B">
        <w:rPr>
          <w:color w:val="1C1D1E"/>
          <w:highlight w:val="white"/>
        </w:rPr>
        <w:t xml:space="preserve">S. </w:t>
      </w:r>
      <w:proofErr w:type="spellStart"/>
      <w:r>
        <w:rPr>
          <w:color w:val="1C1D1E"/>
          <w:highlight w:val="white"/>
        </w:rPr>
        <w:t>Dessai</w:t>
      </w:r>
      <w:proofErr w:type="spellEnd"/>
      <w:r w:rsidR="00DD2B6B">
        <w:rPr>
          <w:color w:val="1C1D1E"/>
          <w:highlight w:val="white"/>
        </w:rPr>
        <w:t xml:space="preserve">, 2011: </w:t>
      </w:r>
      <w:r>
        <w:rPr>
          <w:color w:val="1C1D1E"/>
          <w:highlight w:val="white"/>
        </w:rPr>
        <w:t xml:space="preserve">Is weather event attribution necessary for adaptation </w:t>
      </w:r>
      <w:proofErr w:type="gramStart"/>
      <w:r>
        <w:rPr>
          <w:color w:val="1C1D1E"/>
          <w:highlight w:val="white"/>
        </w:rPr>
        <w:t>funding?</w:t>
      </w:r>
      <w:r w:rsidR="00DD2B6B">
        <w:rPr>
          <w:color w:val="1C1D1E"/>
          <w:highlight w:val="white"/>
        </w:rPr>
        <w:t>,</w:t>
      </w:r>
      <w:proofErr w:type="gramEnd"/>
      <w:r w:rsidR="00DD2B6B">
        <w:rPr>
          <w:color w:val="1C1D1E"/>
          <w:highlight w:val="white"/>
        </w:rPr>
        <w:t xml:space="preserve"> </w:t>
      </w:r>
      <w:r>
        <w:rPr>
          <w:i/>
          <w:color w:val="1C1D1E"/>
          <w:highlight w:val="white"/>
        </w:rPr>
        <w:t>Science</w:t>
      </w:r>
      <w:r>
        <w:rPr>
          <w:color w:val="1C1D1E"/>
          <w:highlight w:val="white"/>
        </w:rPr>
        <w:t>,</w:t>
      </w:r>
      <w:r w:rsidR="00DE7E9F">
        <w:rPr>
          <w:color w:val="1C1D1E"/>
          <w:highlight w:val="white"/>
        </w:rPr>
        <w:t xml:space="preserve"> </w:t>
      </w:r>
      <w:r w:rsidRPr="00DD2B6B">
        <w:rPr>
          <w:b/>
          <w:bCs/>
          <w:color w:val="1C1D1E"/>
          <w:highlight w:val="white"/>
        </w:rPr>
        <w:t>334</w:t>
      </w:r>
      <w:r w:rsidR="00DD2B6B">
        <w:rPr>
          <w:b/>
          <w:bCs/>
          <w:color w:val="1C1D1E"/>
          <w:highlight w:val="white"/>
        </w:rPr>
        <w:t xml:space="preserve">, </w:t>
      </w:r>
      <w:r>
        <w:rPr>
          <w:color w:val="1C1D1E"/>
          <w:highlight w:val="white"/>
        </w:rPr>
        <w:t>764– 765.</w:t>
      </w:r>
    </w:p>
    <w:p w14:paraId="1414D473" w14:textId="78A9B6A4" w:rsidR="00FB50E8" w:rsidRDefault="00FB50E8" w:rsidP="00E83B3D">
      <w:pPr>
        <w:spacing w:before="200" w:line="480" w:lineRule="auto"/>
        <w:rPr>
          <w:color w:val="3C4043"/>
          <w:highlight w:val="white"/>
        </w:rPr>
      </w:pPr>
      <w:r w:rsidRPr="00FB50E8">
        <w:rPr>
          <w:color w:val="3C4043"/>
        </w:rPr>
        <w:t>Kay, J. E., and Coauthors, 2015: The Community Earth System Model (CESM) Large Ensemble Project: A Community Resource for Studying Climate Change in the Presence of Internal Climate Variability. Bulletin of the American Meteorological Society, 96, 1333–1349, https://doi.org/10.1175/BAMS-D-13-00255.1.</w:t>
      </w:r>
    </w:p>
    <w:p w14:paraId="190E22D7" w14:textId="3CAE8100" w:rsidR="00362003" w:rsidRDefault="00F42152" w:rsidP="00E83B3D">
      <w:pPr>
        <w:spacing w:before="200" w:line="480" w:lineRule="auto"/>
        <w:rPr>
          <w:color w:val="3C4043"/>
          <w:highlight w:val="white"/>
        </w:rPr>
      </w:pPr>
      <w:proofErr w:type="spellStart"/>
      <w:r>
        <w:rPr>
          <w:color w:val="3C4043"/>
          <w:highlight w:val="white"/>
        </w:rPr>
        <w:t>Kousky</w:t>
      </w:r>
      <w:proofErr w:type="spellEnd"/>
      <w:r>
        <w:rPr>
          <w:color w:val="3C4043"/>
          <w:highlight w:val="white"/>
        </w:rPr>
        <w:t>, C.</w:t>
      </w:r>
      <w:r w:rsidR="00DD2B6B">
        <w:rPr>
          <w:color w:val="3C4043"/>
          <w:highlight w:val="white"/>
        </w:rPr>
        <w:t xml:space="preserve">, </w:t>
      </w:r>
      <w:r>
        <w:rPr>
          <w:color w:val="3C4043"/>
          <w:highlight w:val="white"/>
        </w:rPr>
        <w:t>2010</w:t>
      </w:r>
      <w:r w:rsidR="00DD2B6B">
        <w:rPr>
          <w:color w:val="3C4043"/>
          <w:highlight w:val="white"/>
        </w:rPr>
        <w:t>:</w:t>
      </w:r>
      <w:r>
        <w:rPr>
          <w:color w:val="3C4043"/>
          <w:highlight w:val="white"/>
        </w:rPr>
        <w:t xml:space="preserve"> Learning from extreme events: Risk perceptions after the flood. </w:t>
      </w:r>
      <w:r w:rsidRPr="00DD2B6B">
        <w:rPr>
          <w:i/>
          <w:iCs/>
          <w:color w:val="3C4043"/>
          <w:highlight w:val="white"/>
        </w:rPr>
        <w:t>Land Econ</w:t>
      </w:r>
      <w:r w:rsidR="00DD2B6B">
        <w:rPr>
          <w:i/>
          <w:iCs/>
          <w:color w:val="3C4043"/>
          <w:highlight w:val="white"/>
        </w:rPr>
        <w:t>.</w:t>
      </w:r>
      <w:r>
        <w:rPr>
          <w:color w:val="3C4043"/>
          <w:highlight w:val="white"/>
        </w:rPr>
        <w:t xml:space="preserve">, </w:t>
      </w:r>
      <w:r w:rsidRPr="00DD2B6B">
        <w:rPr>
          <w:b/>
          <w:bCs/>
          <w:color w:val="3C4043"/>
          <w:highlight w:val="white"/>
        </w:rPr>
        <w:t>86</w:t>
      </w:r>
      <w:r>
        <w:rPr>
          <w:color w:val="3C4043"/>
          <w:highlight w:val="white"/>
        </w:rPr>
        <w:t>, 395-422.</w:t>
      </w:r>
    </w:p>
    <w:p w14:paraId="0D97AD7A" w14:textId="3CE1EF33" w:rsidR="00325271" w:rsidRDefault="00325271" w:rsidP="00E83B3D">
      <w:pPr>
        <w:spacing w:before="200" w:line="480" w:lineRule="auto"/>
        <w:rPr>
          <w:color w:val="3C4043"/>
          <w:highlight w:val="white"/>
        </w:rPr>
      </w:pPr>
      <w:r w:rsidRPr="00325271">
        <w:rPr>
          <w:color w:val="3C4043"/>
        </w:rPr>
        <w:t xml:space="preserve">Lehner, F., C. </w:t>
      </w:r>
      <w:proofErr w:type="spellStart"/>
      <w:r w:rsidRPr="00325271">
        <w:rPr>
          <w:color w:val="3C4043"/>
        </w:rPr>
        <w:t>Deser</w:t>
      </w:r>
      <w:proofErr w:type="spellEnd"/>
      <w:r w:rsidRPr="00325271">
        <w:rPr>
          <w:color w:val="3C4043"/>
        </w:rPr>
        <w:t xml:space="preserve">, I. Simpson, and L. </w:t>
      </w:r>
      <w:proofErr w:type="spellStart"/>
      <w:r w:rsidRPr="00325271">
        <w:rPr>
          <w:color w:val="3C4043"/>
        </w:rPr>
        <w:t>Terray</w:t>
      </w:r>
      <w:proofErr w:type="spellEnd"/>
      <w:r w:rsidRPr="00325271">
        <w:rPr>
          <w:color w:val="3C4043"/>
        </w:rPr>
        <w:t xml:space="preserve">, 2018: Attributing the U.S. Southwest’s recent shift into drier conditions. </w:t>
      </w:r>
      <w:proofErr w:type="spellStart"/>
      <w:r w:rsidRPr="00325271">
        <w:rPr>
          <w:i/>
          <w:iCs/>
          <w:color w:val="3C4043"/>
        </w:rPr>
        <w:t>Geophys</w:t>
      </w:r>
      <w:proofErr w:type="spellEnd"/>
      <w:r w:rsidRPr="00325271">
        <w:rPr>
          <w:i/>
          <w:iCs/>
          <w:color w:val="3C4043"/>
        </w:rPr>
        <w:t>. Res. Lett</w:t>
      </w:r>
      <w:r w:rsidRPr="00325271">
        <w:rPr>
          <w:color w:val="3C4043"/>
        </w:rPr>
        <w:t xml:space="preserve">., </w:t>
      </w:r>
      <w:r w:rsidRPr="00325271">
        <w:rPr>
          <w:b/>
          <w:bCs/>
          <w:color w:val="3C4043"/>
        </w:rPr>
        <w:t>45</w:t>
      </w:r>
      <w:r w:rsidRPr="00325271">
        <w:rPr>
          <w:color w:val="3C4043"/>
        </w:rPr>
        <w:t>, 6251–6261,</w:t>
      </w:r>
      <w:r>
        <w:rPr>
          <w:color w:val="3C4043"/>
        </w:rPr>
        <w:t xml:space="preserve"> </w:t>
      </w:r>
      <w:r w:rsidRPr="00325271">
        <w:rPr>
          <w:color w:val="3C4043"/>
        </w:rPr>
        <w:t>https://doi.org/10.1029/2018GL078312.</w:t>
      </w:r>
    </w:p>
    <w:p w14:paraId="41A6C76E" w14:textId="66C1E414" w:rsidR="00F32033" w:rsidRDefault="00F42152" w:rsidP="00E83B3D">
      <w:pPr>
        <w:spacing w:before="200" w:line="480" w:lineRule="auto"/>
        <w:rPr>
          <w:color w:val="333333"/>
          <w:shd w:val="clear" w:color="auto" w:fill="FCFCFC"/>
        </w:rPr>
      </w:pPr>
      <w:r>
        <w:rPr>
          <w:color w:val="333333"/>
          <w:shd w:val="clear" w:color="auto" w:fill="FCFCFC"/>
        </w:rPr>
        <w:t>Lloyd E</w:t>
      </w:r>
      <w:r w:rsidR="00DD2B6B">
        <w:rPr>
          <w:color w:val="333333"/>
          <w:shd w:val="clear" w:color="auto" w:fill="FCFCFC"/>
        </w:rPr>
        <w:t xml:space="preserve">. </w:t>
      </w:r>
      <w:r>
        <w:rPr>
          <w:color w:val="333333"/>
          <w:shd w:val="clear" w:color="auto" w:fill="FCFCFC"/>
        </w:rPr>
        <w:t>A</w:t>
      </w:r>
      <w:r w:rsidR="00DD2B6B">
        <w:rPr>
          <w:color w:val="333333"/>
          <w:shd w:val="clear" w:color="auto" w:fill="FCFCFC"/>
        </w:rPr>
        <w:t>.</w:t>
      </w:r>
      <w:r>
        <w:rPr>
          <w:color w:val="333333"/>
          <w:shd w:val="clear" w:color="auto" w:fill="FCFCFC"/>
        </w:rPr>
        <w:t xml:space="preserve">, </w:t>
      </w:r>
      <w:r w:rsidR="00DD2B6B">
        <w:rPr>
          <w:color w:val="333333"/>
          <w:shd w:val="clear" w:color="auto" w:fill="FCFCFC"/>
        </w:rPr>
        <w:t xml:space="preserve">and N. </w:t>
      </w:r>
      <w:r>
        <w:rPr>
          <w:color w:val="333333"/>
          <w:shd w:val="clear" w:color="auto" w:fill="FCFCFC"/>
        </w:rPr>
        <w:t>Oreskes</w:t>
      </w:r>
      <w:r w:rsidR="00DD2B6B">
        <w:rPr>
          <w:color w:val="333333"/>
          <w:shd w:val="clear" w:color="auto" w:fill="FCFCFC"/>
        </w:rPr>
        <w:t xml:space="preserve">, </w:t>
      </w:r>
      <w:r>
        <w:rPr>
          <w:color w:val="333333"/>
          <w:shd w:val="clear" w:color="auto" w:fill="FCFCFC"/>
        </w:rPr>
        <w:t>2018</w:t>
      </w:r>
      <w:r w:rsidR="00DD2B6B">
        <w:rPr>
          <w:color w:val="333333"/>
          <w:shd w:val="clear" w:color="auto" w:fill="FCFCFC"/>
        </w:rPr>
        <w:t>:</w:t>
      </w:r>
      <w:r>
        <w:rPr>
          <w:color w:val="333333"/>
          <w:shd w:val="clear" w:color="auto" w:fill="FCFCFC"/>
        </w:rPr>
        <w:t xml:space="preserve"> Climate change attribution: when is it appropriate to accept new </w:t>
      </w:r>
      <w:proofErr w:type="gramStart"/>
      <w:r>
        <w:rPr>
          <w:color w:val="333333"/>
          <w:shd w:val="clear" w:color="auto" w:fill="FCFCFC"/>
        </w:rPr>
        <w:t>methods?</w:t>
      </w:r>
      <w:r w:rsidR="00DD2B6B">
        <w:rPr>
          <w:color w:val="333333"/>
          <w:shd w:val="clear" w:color="auto" w:fill="FCFCFC"/>
        </w:rPr>
        <w:t>,</w:t>
      </w:r>
      <w:proofErr w:type="gramEnd"/>
      <w:r w:rsidR="00DD2B6B">
        <w:rPr>
          <w:color w:val="333333"/>
          <w:shd w:val="clear" w:color="auto" w:fill="FCFCFC"/>
        </w:rPr>
        <w:t xml:space="preserve"> </w:t>
      </w:r>
      <w:r>
        <w:rPr>
          <w:color w:val="333333"/>
          <w:shd w:val="clear" w:color="auto" w:fill="FCFCFC"/>
        </w:rPr>
        <w:t xml:space="preserve"> </w:t>
      </w:r>
      <w:r w:rsidRPr="00DD2B6B">
        <w:rPr>
          <w:i/>
          <w:iCs/>
          <w:color w:val="333333"/>
          <w:shd w:val="clear" w:color="auto" w:fill="FCFCFC"/>
        </w:rPr>
        <w:t>Earths Future</w:t>
      </w:r>
      <w:r w:rsidR="00DD2B6B">
        <w:rPr>
          <w:b/>
          <w:bCs/>
          <w:color w:val="333333"/>
          <w:shd w:val="clear" w:color="auto" w:fill="FCFCFC"/>
        </w:rPr>
        <w:t>,</w:t>
      </w:r>
      <w:r w:rsidRPr="00DD2B6B">
        <w:rPr>
          <w:b/>
          <w:bCs/>
          <w:color w:val="333333"/>
          <w:shd w:val="clear" w:color="auto" w:fill="FCFCFC"/>
        </w:rPr>
        <w:t xml:space="preserve"> </w:t>
      </w:r>
      <w:r w:rsidR="00DD2B6B" w:rsidRPr="00DD2B6B">
        <w:rPr>
          <w:b/>
          <w:bCs/>
          <w:color w:val="333333"/>
          <w:shd w:val="clear" w:color="auto" w:fill="FCFCFC"/>
        </w:rPr>
        <w:t>6</w:t>
      </w:r>
      <w:r w:rsidR="00DD2B6B">
        <w:rPr>
          <w:color w:val="333333"/>
          <w:shd w:val="clear" w:color="auto" w:fill="FCFCFC"/>
        </w:rPr>
        <w:t xml:space="preserve">, </w:t>
      </w:r>
      <w:r>
        <w:rPr>
          <w:color w:val="333333"/>
          <w:shd w:val="clear" w:color="auto" w:fill="FCFCFC"/>
        </w:rPr>
        <w:t>311–325</w:t>
      </w:r>
    </w:p>
    <w:p w14:paraId="333F4DBC" w14:textId="30079C88" w:rsidR="006F2BAE" w:rsidRDefault="006F2BAE" w:rsidP="00E83B3D">
      <w:pPr>
        <w:spacing w:before="200" w:line="480" w:lineRule="auto"/>
      </w:pPr>
      <w:proofErr w:type="spellStart"/>
      <w:r w:rsidRPr="006F2BAE">
        <w:t>Loikith</w:t>
      </w:r>
      <w:proofErr w:type="spellEnd"/>
      <w:r w:rsidRPr="006F2BAE">
        <w:t xml:space="preserve">, P. C., and J. D. </w:t>
      </w:r>
      <w:proofErr w:type="spellStart"/>
      <w:r w:rsidRPr="006F2BAE">
        <w:t>Neelin</w:t>
      </w:r>
      <w:proofErr w:type="spellEnd"/>
      <w:r w:rsidRPr="006F2BAE">
        <w:t xml:space="preserve">, 2019: Non-Gaussian Cold-Side Temperature Distribution Tails and Associated Synoptic Meteorology. Journal of Climate, 32, 8399–8414, </w:t>
      </w:r>
      <w:hyperlink r:id="rId11" w:history="1">
        <w:r w:rsidRPr="00AC659E">
          <w:rPr>
            <w:rStyle w:val="Hyperlink"/>
          </w:rPr>
          <w:t>https://doi.org/10.1175/JCLI-D-19-0344.1</w:t>
        </w:r>
      </w:hyperlink>
      <w:r w:rsidRPr="006F2BAE">
        <w:t>.</w:t>
      </w:r>
    </w:p>
    <w:p w14:paraId="30993F5A" w14:textId="59EB4EEA" w:rsidR="00850C6D" w:rsidRDefault="00850C6D" w:rsidP="00E83B3D">
      <w:pPr>
        <w:spacing w:before="200" w:line="480" w:lineRule="auto"/>
        <w:rPr>
          <w:color w:val="333333"/>
          <w:shd w:val="clear" w:color="auto" w:fill="FCFCFC"/>
        </w:rPr>
      </w:pPr>
      <w:r w:rsidRPr="00850C6D">
        <w:lastRenderedPageBreak/>
        <w:t xml:space="preserve">Murray, D., </w:t>
      </w:r>
      <w:r>
        <w:t xml:space="preserve">and Co-Authors, </w:t>
      </w:r>
      <w:r w:rsidRPr="00850C6D">
        <w:t>2020: Facility for Weather and Climate Assessments (FACTS): A Community Resource for Assessing Weather and Climate Variability. </w:t>
      </w:r>
      <w:r w:rsidRPr="00850C6D">
        <w:rPr>
          <w:i/>
          <w:iCs/>
        </w:rPr>
        <w:t>Bull. Amer. Meteor. Soc.</w:t>
      </w:r>
      <w:r w:rsidRPr="00850C6D">
        <w:t>, </w:t>
      </w:r>
      <w:r w:rsidRPr="00850C6D">
        <w:rPr>
          <w:b/>
          <w:bCs/>
        </w:rPr>
        <w:t>101</w:t>
      </w:r>
      <w:r w:rsidRPr="00850C6D">
        <w:t xml:space="preserve">, E1214–E1224, </w:t>
      </w:r>
      <w:proofErr w:type="spellStart"/>
      <w:r w:rsidRPr="00850C6D">
        <w:t>doi</w:t>
      </w:r>
      <w:proofErr w:type="spellEnd"/>
      <w:r w:rsidRPr="00850C6D">
        <w:t>: </w:t>
      </w:r>
      <w:hyperlink r:id="rId12" w:tgtFrame="_blank" w:tooltip="https://doi.org/10.1175/BAMS-D-19-0224.1" w:history="1">
        <w:r w:rsidRPr="00850C6D">
          <w:rPr>
            <w:color w:val="337AB7"/>
            <w:u w:val="single"/>
          </w:rPr>
          <w:t>10.1175/BAMS-D-19-0224.1</w:t>
        </w:r>
      </w:hyperlink>
    </w:p>
    <w:p w14:paraId="02202ADA" w14:textId="3ADDA1CB" w:rsidR="00362003" w:rsidRDefault="00F42152" w:rsidP="00E83B3D">
      <w:pPr>
        <w:spacing w:before="200" w:line="480" w:lineRule="auto"/>
        <w:rPr>
          <w:color w:val="3C4043"/>
          <w:highlight w:val="white"/>
        </w:rPr>
      </w:pPr>
      <w:r>
        <w:rPr>
          <w:color w:val="3C4043"/>
          <w:highlight w:val="white"/>
        </w:rPr>
        <w:t>National Academies of Sciences, Engineering, and Medicine</w:t>
      </w:r>
      <w:r w:rsidR="00DD2B6B">
        <w:rPr>
          <w:color w:val="3C4043"/>
          <w:highlight w:val="white"/>
        </w:rPr>
        <w:t xml:space="preserve"> (NAS), </w:t>
      </w:r>
      <w:r>
        <w:rPr>
          <w:color w:val="3C4043"/>
          <w:highlight w:val="white"/>
        </w:rPr>
        <w:t>2016</w:t>
      </w:r>
      <w:r w:rsidR="00DD2B6B">
        <w:rPr>
          <w:color w:val="3C4043"/>
          <w:highlight w:val="white"/>
        </w:rPr>
        <w:t>:</w:t>
      </w:r>
      <w:r>
        <w:rPr>
          <w:color w:val="3C4043"/>
          <w:highlight w:val="white"/>
        </w:rPr>
        <w:t xml:space="preserve"> Attribution of Extreme Weather Events in the Context of Climate Change. Washington, DC: The </w:t>
      </w:r>
      <w:r w:rsidR="006112CF">
        <w:rPr>
          <w:color w:val="3C4043"/>
          <w:highlight w:val="white"/>
        </w:rPr>
        <w:t xml:space="preserve">National </w:t>
      </w:r>
      <w:r>
        <w:rPr>
          <w:color w:val="3C4043"/>
          <w:highlight w:val="white"/>
        </w:rPr>
        <w:t>Academies Press. doi:10.17226/21852</w:t>
      </w:r>
    </w:p>
    <w:p w14:paraId="6CAA1E41" w14:textId="6626831F" w:rsidR="00E927CD" w:rsidRDefault="00E927CD" w:rsidP="00E83B3D">
      <w:pPr>
        <w:spacing w:before="200" w:line="480" w:lineRule="auto"/>
        <w:rPr>
          <w:color w:val="3C4043"/>
          <w:highlight w:val="white"/>
        </w:rPr>
      </w:pPr>
      <w:r w:rsidRPr="00E927CD">
        <w:rPr>
          <w:color w:val="3C4043"/>
        </w:rPr>
        <w:t>Neale, R. B., and Coauthors, 2010: Description of the NCAR Community Atmosphere Model (CAM5.0). NCAR Tech. Note NCAR/TN-486+STR, 268 pp., www.cesm.ucar.edu/models/cesm1.1/cam/docs/description/cam5_desc.pdf.</w:t>
      </w:r>
    </w:p>
    <w:p w14:paraId="2718A7CB" w14:textId="37E5A23E" w:rsidR="00362003" w:rsidRDefault="00F42152" w:rsidP="00E83B3D">
      <w:pPr>
        <w:spacing w:before="200" w:line="480" w:lineRule="auto"/>
        <w:rPr>
          <w:color w:val="3C4043"/>
          <w:highlight w:val="white"/>
        </w:rPr>
      </w:pPr>
      <w:r>
        <w:rPr>
          <w:color w:val="3C4043"/>
          <w:highlight w:val="white"/>
        </w:rPr>
        <w:t>NOAA, Climate Program Office, 2020</w:t>
      </w:r>
      <w:r w:rsidR="00DD2B6B">
        <w:rPr>
          <w:color w:val="3C4043"/>
          <w:highlight w:val="white"/>
        </w:rPr>
        <w:t xml:space="preserve">: </w:t>
      </w:r>
      <w:r w:rsidR="00DD2B6B" w:rsidRPr="00DD2B6B">
        <w:rPr>
          <w:color w:val="3C4043"/>
          <w:highlight w:val="white"/>
        </w:rPr>
        <w:t>Understanding-the-Causes-and-Mechanisms-of-Extreme-Climate-Events</w:t>
      </w:r>
      <w:r w:rsidR="00DD2B6B">
        <w:rPr>
          <w:color w:val="3C4043"/>
          <w:highlight w:val="white"/>
        </w:rPr>
        <w:t xml:space="preserve">, Accessed May 8, 202, </w:t>
      </w:r>
      <w:r>
        <w:rPr>
          <w:color w:val="3C4043"/>
          <w:highlight w:val="white"/>
        </w:rPr>
        <w:t xml:space="preserve"> </w:t>
      </w:r>
      <w:hyperlink r:id="rId13">
        <w:r>
          <w:rPr>
            <w:color w:val="1155CC"/>
            <w:highlight w:val="white"/>
            <w:u w:val="single"/>
          </w:rPr>
          <w:t>https://cpo.noaa.gov/Funding-Opportunities/FY2020-Recipients/Understanding-the-Causes-and-Mechanisms-of-Extreme-Climate-Events</w:t>
        </w:r>
      </w:hyperlink>
    </w:p>
    <w:p w14:paraId="5F40F747" w14:textId="332F030A" w:rsidR="007142E7" w:rsidRDefault="007142E7" w:rsidP="00E83B3D">
      <w:pPr>
        <w:spacing w:before="200" w:line="480" w:lineRule="auto"/>
        <w:rPr>
          <w:color w:val="3C4043"/>
          <w:highlight w:val="white"/>
        </w:rPr>
      </w:pPr>
      <w:r>
        <w:rPr>
          <w:color w:val="3C4043"/>
          <w:highlight w:val="white"/>
        </w:rPr>
        <w:t xml:space="preserve">NOAA, National Center for Environmental Information (NCEI), 2021: </w:t>
      </w:r>
      <w:r w:rsidRPr="007142E7">
        <w:rPr>
          <w:color w:val="3C4043"/>
        </w:rPr>
        <w:t>Assessing the U.S. Climate in June 2021</w:t>
      </w:r>
      <w:r>
        <w:rPr>
          <w:color w:val="3C4043"/>
        </w:rPr>
        <w:t xml:space="preserve">. Accessed 5 November 2021,  </w:t>
      </w:r>
      <w:hyperlink r:id="rId14" w:history="1">
        <w:r w:rsidRPr="00AC659E">
          <w:rPr>
            <w:rStyle w:val="Hyperlink"/>
          </w:rPr>
          <w:t>https://www.ncei.noaa.gov/news/national-climate-202106</w:t>
        </w:r>
      </w:hyperlink>
      <w:r>
        <w:rPr>
          <w:color w:val="3C4043"/>
        </w:rPr>
        <w:t xml:space="preserve">. </w:t>
      </w:r>
    </w:p>
    <w:p w14:paraId="77E9CBDF" w14:textId="3A51629D" w:rsidR="00362003" w:rsidRDefault="00F42152" w:rsidP="00E83B3D">
      <w:pPr>
        <w:spacing w:before="200" w:line="480" w:lineRule="auto"/>
        <w:rPr>
          <w:color w:val="3C4043"/>
          <w:highlight w:val="white"/>
        </w:rPr>
      </w:pPr>
      <w:r>
        <w:rPr>
          <w:color w:val="3C4043"/>
          <w:highlight w:val="white"/>
        </w:rPr>
        <w:t xml:space="preserve">Pascale, S., </w:t>
      </w:r>
      <w:r w:rsidR="00DD2B6B">
        <w:rPr>
          <w:color w:val="3C4043"/>
          <w:highlight w:val="white"/>
        </w:rPr>
        <w:t xml:space="preserve">S. B. </w:t>
      </w:r>
      <w:proofErr w:type="spellStart"/>
      <w:r>
        <w:rPr>
          <w:color w:val="3C4043"/>
          <w:highlight w:val="white"/>
        </w:rPr>
        <w:t>Kapnick</w:t>
      </w:r>
      <w:proofErr w:type="spellEnd"/>
      <w:r>
        <w:rPr>
          <w:color w:val="3C4043"/>
          <w:highlight w:val="white"/>
        </w:rPr>
        <w:t xml:space="preserve">, </w:t>
      </w:r>
      <w:r w:rsidR="00DD2B6B">
        <w:rPr>
          <w:color w:val="3C4043"/>
          <w:highlight w:val="white"/>
        </w:rPr>
        <w:t xml:space="preserve">T. L. </w:t>
      </w:r>
      <w:proofErr w:type="spellStart"/>
      <w:r>
        <w:rPr>
          <w:color w:val="3C4043"/>
          <w:highlight w:val="white"/>
        </w:rPr>
        <w:t>Delworth</w:t>
      </w:r>
      <w:proofErr w:type="spellEnd"/>
      <w:r>
        <w:rPr>
          <w:color w:val="3C4043"/>
          <w:highlight w:val="white"/>
        </w:rPr>
        <w:t>,</w:t>
      </w:r>
      <w:r w:rsidR="00DD2B6B">
        <w:rPr>
          <w:color w:val="3C4043"/>
          <w:highlight w:val="white"/>
        </w:rPr>
        <w:t xml:space="preserve"> and W. F.</w:t>
      </w:r>
      <w:r>
        <w:rPr>
          <w:color w:val="3C4043"/>
          <w:highlight w:val="white"/>
        </w:rPr>
        <w:t xml:space="preserve"> Cooke</w:t>
      </w:r>
      <w:r w:rsidR="00DD2B6B">
        <w:rPr>
          <w:color w:val="3C4043"/>
          <w:highlight w:val="white"/>
        </w:rPr>
        <w:t xml:space="preserve">, 2020: </w:t>
      </w:r>
      <w:r>
        <w:rPr>
          <w:color w:val="3C4043"/>
          <w:highlight w:val="white"/>
        </w:rPr>
        <w:t xml:space="preserve"> Increasing risk of another Cape Town “Day Zero” drought in the 21st century. </w:t>
      </w:r>
      <w:r w:rsidR="00DD2B6B" w:rsidRPr="00DD2B6B">
        <w:rPr>
          <w:i/>
          <w:iCs/>
          <w:color w:val="3C4043"/>
          <w:highlight w:val="white"/>
        </w:rPr>
        <w:t>Proc. Natl. Acad. Sci</w:t>
      </w:r>
      <w:r w:rsidR="00DD2B6B">
        <w:rPr>
          <w:color w:val="3C4043"/>
          <w:highlight w:val="white"/>
        </w:rPr>
        <w:t>.</w:t>
      </w:r>
      <w:r>
        <w:rPr>
          <w:color w:val="3C4043"/>
          <w:highlight w:val="white"/>
        </w:rPr>
        <w:t xml:space="preserve">, </w:t>
      </w:r>
      <w:r w:rsidRPr="00DD2B6B">
        <w:rPr>
          <w:b/>
          <w:bCs/>
          <w:color w:val="3C4043"/>
          <w:highlight w:val="white"/>
        </w:rPr>
        <w:t>117</w:t>
      </w:r>
      <w:r>
        <w:rPr>
          <w:color w:val="3C4043"/>
          <w:highlight w:val="white"/>
        </w:rPr>
        <w:t>, 29495-29503.</w:t>
      </w:r>
    </w:p>
    <w:p w14:paraId="5F3F1289" w14:textId="42B9F4EC" w:rsidR="00362003" w:rsidRDefault="00F42152" w:rsidP="00E83B3D">
      <w:pPr>
        <w:spacing w:before="200" w:line="480" w:lineRule="auto"/>
        <w:rPr>
          <w:color w:val="3C4043"/>
          <w:highlight w:val="white"/>
        </w:rPr>
      </w:pPr>
      <w:r>
        <w:rPr>
          <w:color w:val="1C1D1E"/>
          <w:highlight w:val="white"/>
        </w:rPr>
        <w:t>Peterson T</w:t>
      </w:r>
      <w:r w:rsidR="00DD2B6B">
        <w:rPr>
          <w:color w:val="1C1D1E"/>
          <w:highlight w:val="white"/>
        </w:rPr>
        <w:t xml:space="preserve">. </w:t>
      </w:r>
      <w:r>
        <w:rPr>
          <w:color w:val="1C1D1E"/>
          <w:highlight w:val="white"/>
        </w:rPr>
        <w:t>C</w:t>
      </w:r>
      <w:r w:rsidR="00DD2B6B">
        <w:rPr>
          <w:color w:val="1C1D1E"/>
          <w:highlight w:val="white"/>
        </w:rPr>
        <w:t>.</w:t>
      </w:r>
      <w:r>
        <w:rPr>
          <w:color w:val="1C1D1E"/>
          <w:highlight w:val="white"/>
        </w:rPr>
        <w:t xml:space="preserve">, </w:t>
      </w:r>
      <w:r w:rsidR="00DD2B6B">
        <w:rPr>
          <w:color w:val="1C1D1E"/>
          <w:highlight w:val="white"/>
        </w:rPr>
        <w:t xml:space="preserve">P. A. </w:t>
      </w:r>
      <w:r>
        <w:rPr>
          <w:color w:val="1C1D1E"/>
          <w:highlight w:val="white"/>
        </w:rPr>
        <w:t>Stott,</w:t>
      </w:r>
      <w:r w:rsidR="00607A74">
        <w:rPr>
          <w:color w:val="1C1D1E"/>
          <w:highlight w:val="white"/>
        </w:rPr>
        <w:t xml:space="preserve"> S.</w:t>
      </w:r>
      <w:r>
        <w:rPr>
          <w:color w:val="1C1D1E"/>
          <w:highlight w:val="white"/>
        </w:rPr>
        <w:t xml:space="preserve"> Herring</w:t>
      </w:r>
      <w:r w:rsidR="00607A74">
        <w:rPr>
          <w:color w:val="1C1D1E"/>
          <w:highlight w:val="white"/>
        </w:rPr>
        <w:t xml:space="preserve">, 2012: </w:t>
      </w:r>
      <w:r>
        <w:rPr>
          <w:color w:val="1C1D1E"/>
          <w:highlight w:val="white"/>
        </w:rPr>
        <w:t xml:space="preserve">Explaining extreme events of 2011 from a climate perspective. </w:t>
      </w:r>
      <w:proofErr w:type="spellStart"/>
      <w:r>
        <w:rPr>
          <w:i/>
          <w:color w:val="1C1D1E"/>
          <w:highlight w:val="white"/>
        </w:rPr>
        <w:t>Bul</w:t>
      </w:r>
      <w:r w:rsidR="00607A74">
        <w:rPr>
          <w:i/>
          <w:color w:val="1C1D1E"/>
          <w:highlight w:val="white"/>
        </w:rPr>
        <w:t>.</w:t>
      </w:r>
      <w:r>
        <w:rPr>
          <w:i/>
          <w:color w:val="1C1D1E"/>
          <w:highlight w:val="white"/>
        </w:rPr>
        <w:t>l</w:t>
      </w:r>
      <w:proofErr w:type="spellEnd"/>
      <w:r>
        <w:rPr>
          <w:i/>
          <w:color w:val="1C1D1E"/>
          <w:highlight w:val="white"/>
        </w:rPr>
        <w:t xml:space="preserve"> Am</w:t>
      </w:r>
      <w:r w:rsidR="00607A74">
        <w:rPr>
          <w:i/>
          <w:color w:val="1C1D1E"/>
          <w:highlight w:val="white"/>
        </w:rPr>
        <w:t>.</w:t>
      </w:r>
      <w:r>
        <w:rPr>
          <w:i/>
          <w:color w:val="1C1D1E"/>
          <w:highlight w:val="white"/>
        </w:rPr>
        <w:t xml:space="preserve"> </w:t>
      </w:r>
      <w:proofErr w:type="spellStart"/>
      <w:r>
        <w:rPr>
          <w:i/>
          <w:color w:val="1C1D1E"/>
          <w:highlight w:val="white"/>
        </w:rPr>
        <w:t>Meteorol</w:t>
      </w:r>
      <w:proofErr w:type="spellEnd"/>
      <w:r w:rsidR="00607A74">
        <w:rPr>
          <w:i/>
          <w:color w:val="1C1D1E"/>
          <w:highlight w:val="white"/>
        </w:rPr>
        <w:t>.</w:t>
      </w:r>
      <w:r>
        <w:rPr>
          <w:i/>
          <w:color w:val="1C1D1E"/>
          <w:highlight w:val="white"/>
        </w:rPr>
        <w:t xml:space="preserve"> Soc</w:t>
      </w:r>
      <w:r w:rsidR="00607A74">
        <w:rPr>
          <w:i/>
          <w:color w:val="1C1D1E"/>
          <w:highlight w:val="white"/>
        </w:rPr>
        <w:t>.</w:t>
      </w:r>
      <w:r>
        <w:rPr>
          <w:color w:val="1C1D1E"/>
          <w:highlight w:val="white"/>
        </w:rPr>
        <w:t>,</w:t>
      </w:r>
      <w:r w:rsidR="00DE7E9F">
        <w:rPr>
          <w:color w:val="1C1D1E"/>
          <w:highlight w:val="white"/>
        </w:rPr>
        <w:t xml:space="preserve"> </w:t>
      </w:r>
      <w:r w:rsidRPr="00607A74">
        <w:rPr>
          <w:b/>
          <w:bCs/>
          <w:color w:val="1C1D1E"/>
          <w:highlight w:val="white"/>
        </w:rPr>
        <w:t>93</w:t>
      </w:r>
      <w:r w:rsidR="00607A74">
        <w:rPr>
          <w:color w:val="1C1D1E"/>
          <w:highlight w:val="white"/>
        </w:rPr>
        <w:t xml:space="preserve">, </w:t>
      </w:r>
      <w:r>
        <w:rPr>
          <w:color w:val="1C1D1E"/>
          <w:highlight w:val="white"/>
        </w:rPr>
        <w:t>1041– 1067.</w:t>
      </w:r>
    </w:p>
    <w:p w14:paraId="11B6FA99" w14:textId="0113D535" w:rsidR="00362003" w:rsidRDefault="00F42152" w:rsidP="00E83B3D">
      <w:pPr>
        <w:spacing w:before="200" w:line="480" w:lineRule="auto"/>
        <w:rPr>
          <w:color w:val="3C4043"/>
          <w:highlight w:val="white"/>
        </w:rPr>
      </w:pPr>
      <w:proofErr w:type="spellStart"/>
      <w:r>
        <w:rPr>
          <w:color w:val="3C4043"/>
          <w:highlight w:val="white"/>
        </w:rPr>
        <w:lastRenderedPageBreak/>
        <w:t>Pulwarty</w:t>
      </w:r>
      <w:proofErr w:type="spellEnd"/>
      <w:r>
        <w:rPr>
          <w:color w:val="3C4043"/>
          <w:highlight w:val="white"/>
        </w:rPr>
        <w:t xml:space="preserve">, R. S., </w:t>
      </w:r>
      <w:r w:rsidR="00607A74">
        <w:rPr>
          <w:color w:val="3C4043"/>
          <w:highlight w:val="white"/>
        </w:rPr>
        <w:t>and M. V.</w:t>
      </w:r>
      <w:r>
        <w:rPr>
          <w:color w:val="3C4043"/>
          <w:highlight w:val="white"/>
        </w:rPr>
        <w:t xml:space="preserve"> Sivakumar, M. V.</w:t>
      </w:r>
      <w:r w:rsidR="00607A74">
        <w:rPr>
          <w:color w:val="3C4043"/>
          <w:highlight w:val="white"/>
        </w:rPr>
        <w:t xml:space="preserve">, </w:t>
      </w:r>
      <w:r>
        <w:rPr>
          <w:color w:val="3C4043"/>
          <w:highlight w:val="white"/>
        </w:rPr>
        <w:t>2014</w:t>
      </w:r>
      <w:r w:rsidR="00607A74">
        <w:rPr>
          <w:color w:val="3C4043"/>
          <w:highlight w:val="white"/>
        </w:rPr>
        <w:t>:</w:t>
      </w:r>
      <w:r>
        <w:rPr>
          <w:color w:val="3C4043"/>
          <w:highlight w:val="white"/>
        </w:rPr>
        <w:t xml:space="preserve"> Information systems in a changing climate: Early warnings and drought risk management. </w:t>
      </w:r>
      <w:r w:rsidRPr="00607A74">
        <w:rPr>
          <w:i/>
          <w:iCs/>
          <w:color w:val="3C4043"/>
          <w:highlight w:val="white"/>
        </w:rPr>
        <w:t>We</w:t>
      </w:r>
      <w:r w:rsidR="00BB584C">
        <w:rPr>
          <w:i/>
          <w:iCs/>
          <w:color w:val="3C4043"/>
          <w:highlight w:val="white"/>
        </w:rPr>
        <w:t>a.</w:t>
      </w:r>
      <w:r w:rsidRPr="00607A74">
        <w:rPr>
          <w:i/>
          <w:iCs/>
          <w:color w:val="3C4043"/>
          <w:highlight w:val="white"/>
        </w:rPr>
        <w:t xml:space="preserve"> Clim</w:t>
      </w:r>
      <w:r w:rsidR="00607A74" w:rsidRPr="00607A74">
        <w:rPr>
          <w:i/>
          <w:iCs/>
          <w:color w:val="3C4043"/>
          <w:highlight w:val="white"/>
        </w:rPr>
        <w:t>.</w:t>
      </w:r>
      <w:r w:rsidRPr="00607A74">
        <w:rPr>
          <w:i/>
          <w:iCs/>
          <w:color w:val="3C4043"/>
          <w:highlight w:val="white"/>
        </w:rPr>
        <w:t xml:space="preserve"> Extremes</w:t>
      </w:r>
      <w:r>
        <w:rPr>
          <w:color w:val="3C4043"/>
          <w:highlight w:val="white"/>
        </w:rPr>
        <w:t xml:space="preserve">, </w:t>
      </w:r>
      <w:r w:rsidRPr="00607A74">
        <w:rPr>
          <w:b/>
          <w:bCs/>
          <w:color w:val="3C4043"/>
          <w:highlight w:val="white"/>
        </w:rPr>
        <w:t>3</w:t>
      </w:r>
      <w:r>
        <w:rPr>
          <w:color w:val="3C4043"/>
          <w:highlight w:val="white"/>
        </w:rPr>
        <w:t>, 14-21.</w:t>
      </w:r>
    </w:p>
    <w:p w14:paraId="33B8777B" w14:textId="17C92C69" w:rsidR="00362003" w:rsidRDefault="00F42152" w:rsidP="00E83B3D">
      <w:pPr>
        <w:spacing w:before="200" w:line="480" w:lineRule="auto"/>
      </w:pPr>
      <w:r>
        <w:rPr>
          <w:color w:val="3C4043"/>
          <w:highlight w:val="white"/>
        </w:rPr>
        <w:t xml:space="preserve">Rogers, D. P., </w:t>
      </w:r>
      <w:r w:rsidR="00607A74">
        <w:rPr>
          <w:color w:val="3C4043"/>
          <w:highlight w:val="white"/>
        </w:rPr>
        <w:t>and V. V.</w:t>
      </w:r>
      <w:r>
        <w:rPr>
          <w:color w:val="3C4043"/>
          <w:highlight w:val="white"/>
        </w:rPr>
        <w:t xml:space="preserve"> </w:t>
      </w:r>
      <w:proofErr w:type="spellStart"/>
      <w:r>
        <w:rPr>
          <w:color w:val="3C4043"/>
          <w:highlight w:val="white"/>
        </w:rPr>
        <w:t>Tsirkunov</w:t>
      </w:r>
      <w:proofErr w:type="spellEnd"/>
      <w:r>
        <w:rPr>
          <w:color w:val="3C4043"/>
          <w:highlight w:val="white"/>
        </w:rPr>
        <w:t>, V. V.</w:t>
      </w:r>
      <w:r w:rsidR="00607A74">
        <w:rPr>
          <w:color w:val="3C4043"/>
          <w:highlight w:val="white"/>
        </w:rPr>
        <w:t xml:space="preserve">, </w:t>
      </w:r>
      <w:r>
        <w:rPr>
          <w:color w:val="3C4043"/>
          <w:highlight w:val="white"/>
        </w:rPr>
        <w:t>2013</w:t>
      </w:r>
      <w:r w:rsidR="00607A74">
        <w:rPr>
          <w:color w:val="3C4043"/>
          <w:highlight w:val="white"/>
        </w:rPr>
        <w:t>:</w:t>
      </w:r>
      <w:r>
        <w:rPr>
          <w:color w:val="3C4043"/>
          <w:highlight w:val="white"/>
        </w:rPr>
        <w:t xml:space="preserve"> Weather and climate resilience: Effective preparedness through national meteorological and hydrological services. </w:t>
      </w:r>
      <w:r w:rsidR="00607A74" w:rsidRPr="00607A74">
        <w:rPr>
          <w:color w:val="3C4043"/>
        </w:rPr>
        <w:t>Directions in Development</w:t>
      </w:r>
      <w:r w:rsidR="00607A74">
        <w:rPr>
          <w:color w:val="3C4043"/>
        </w:rPr>
        <w:t>,</w:t>
      </w:r>
      <w:r w:rsidR="00607A74" w:rsidRPr="00607A74">
        <w:rPr>
          <w:color w:val="3C4043"/>
        </w:rPr>
        <w:t xml:space="preserve"> Washington, DC: World Bank</w:t>
      </w:r>
      <w:r w:rsidR="00607A74">
        <w:rPr>
          <w:color w:val="3C4043"/>
        </w:rPr>
        <w:t>, 141 pp.,</w:t>
      </w:r>
      <w:r w:rsidR="00607A74" w:rsidRPr="00607A74">
        <w:rPr>
          <w:color w:val="3C4043"/>
        </w:rPr>
        <w:t xml:space="preserve"> doi:10.1596/978-1-4648-0026-9.</w:t>
      </w:r>
    </w:p>
    <w:p w14:paraId="428DE157" w14:textId="77777777" w:rsidR="00777D4D" w:rsidRDefault="00777D4D" w:rsidP="00777D4D">
      <w:pPr>
        <w:spacing w:line="480" w:lineRule="auto"/>
      </w:pPr>
    </w:p>
    <w:p w14:paraId="369E5DD9" w14:textId="13C33325" w:rsidR="00777D4D" w:rsidRDefault="00777D4D" w:rsidP="00777D4D">
      <w:pPr>
        <w:spacing w:line="480" w:lineRule="auto"/>
      </w:pPr>
      <w:proofErr w:type="spellStart"/>
      <w:r w:rsidRPr="00167E10">
        <w:t>Sardeshmukh</w:t>
      </w:r>
      <w:proofErr w:type="spellEnd"/>
      <w:r w:rsidRPr="00167E10">
        <w:t>, P. D., Compo, G. P., &amp; Penland, C. (2015). Need for Caution in Interpreting Extreme Weather Statistics, Journal of Climate, 28(23), 9166-9187.</w:t>
      </w:r>
    </w:p>
    <w:p w14:paraId="46CC707E" w14:textId="77777777" w:rsidR="00362003" w:rsidRDefault="00F42152" w:rsidP="00E83B3D">
      <w:pPr>
        <w:spacing w:before="200" w:line="480" w:lineRule="auto"/>
        <w:rPr>
          <w:color w:val="333333"/>
        </w:rPr>
      </w:pPr>
      <w:r>
        <w:rPr>
          <w:color w:val="333333"/>
        </w:rPr>
        <w:t xml:space="preserve">Seager, R., and M. </w:t>
      </w:r>
      <w:proofErr w:type="spellStart"/>
      <w:r>
        <w:rPr>
          <w:color w:val="333333"/>
        </w:rPr>
        <w:t>Hoerling</w:t>
      </w:r>
      <w:proofErr w:type="spellEnd"/>
      <w:r>
        <w:rPr>
          <w:color w:val="333333"/>
        </w:rPr>
        <w:t xml:space="preserve">, 2014: Atmosphere and ocean origins of North American droughts. </w:t>
      </w:r>
      <w:r>
        <w:rPr>
          <w:i/>
          <w:color w:val="333333"/>
        </w:rPr>
        <w:t>J. Climate</w:t>
      </w:r>
      <w:r>
        <w:rPr>
          <w:color w:val="333333"/>
        </w:rPr>
        <w:t xml:space="preserve">, </w:t>
      </w:r>
      <w:r>
        <w:rPr>
          <w:b/>
          <w:color w:val="333333"/>
        </w:rPr>
        <w:t>27</w:t>
      </w:r>
      <w:r>
        <w:rPr>
          <w:color w:val="333333"/>
        </w:rPr>
        <w:t>, 4581-4606.</w:t>
      </w:r>
    </w:p>
    <w:p w14:paraId="2C045E34" w14:textId="56613531" w:rsidR="00362003" w:rsidRDefault="00F42152" w:rsidP="00E83B3D">
      <w:pPr>
        <w:widowControl w:val="0"/>
        <w:shd w:val="clear" w:color="auto" w:fill="FFFFFF"/>
        <w:spacing w:before="200" w:line="480" w:lineRule="auto"/>
        <w:rPr>
          <w:color w:val="444444"/>
        </w:rPr>
      </w:pPr>
      <w:r>
        <w:rPr>
          <w:color w:val="1C1D1E"/>
          <w:highlight w:val="white"/>
        </w:rPr>
        <w:t>Shepherd, T. G.</w:t>
      </w:r>
      <w:r w:rsidR="00607A74">
        <w:rPr>
          <w:color w:val="1C1D1E"/>
          <w:highlight w:val="white"/>
        </w:rPr>
        <w:t xml:space="preserve">, </w:t>
      </w:r>
      <w:r>
        <w:rPr>
          <w:color w:val="1C1D1E"/>
          <w:highlight w:val="white"/>
        </w:rPr>
        <w:t>2014</w:t>
      </w:r>
      <w:r w:rsidR="00607A74">
        <w:rPr>
          <w:color w:val="1C1D1E"/>
          <w:highlight w:val="white"/>
        </w:rPr>
        <w:t>:</w:t>
      </w:r>
      <w:r>
        <w:rPr>
          <w:color w:val="1C1D1E"/>
          <w:highlight w:val="white"/>
        </w:rPr>
        <w:t xml:space="preserve"> Atmospheric circulation as a source of uncertainty in climate change projections. </w:t>
      </w:r>
      <w:r>
        <w:rPr>
          <w:i/>
          <w:color w:val="1C1D1E"/>
          <w:highlight w:val="white"/>
        </w:rPr>
        <w:t>Nature Geoscience</w:t>
      </w:r>
      <w:r>
        <w:rPr>
          <w:color w:val="1C1D1E"/>
          <w:highlight w:val="white"/>
        </w:rPr>
        <w:t xml:space="preserve">, </w:t>
      </w:r>
      <w:r w:rsidRPr="00607A74">
        <w:rPr>
          <w:b/>
          <w:bCs/>
          <w:color w:val="1C1D1E"/>
          <w:highlight w:val="white"/>
        </w:rPr>
        <w:t>7</w:t>
      </w:r>
      <w:r>
        <w:rPr>
          <w:color w:val="1C1D1E"/>
          <w:highlight w:val="white"/>
        </w:rPr>
        <w:t xml:space="preserve">, 703– 708. </w:t>
      </w:r>
      <w:hyperlink r:id="rId15">
        <w:r w:rsidRPr="00DE7E9F">
          <w:rPr>
            <w:color w:val="000000" w:themeColor="text1"/>
            <w:highlight w:val="white"/>
          </w:rPr>
          <w:t>https://doi.org/10.1038/ngeo2253</w:t>
        </w:r>
      </w:hyperlink>
    </w:p>
    <w:p w14:paraId="6E9F6F0C" w14:textId="628E942F" w:rsidR="00FB50E8" w:rsidRDefault="00FB50E8" w:rsidP="00E83B3D">
      <w:pPr>
        <w:widowControl w:val="0"/>
        <w:shd w:val="clear" w:color="auto" w:fill="FFFFFF"/>
        <w:spacing w:before="200" w:line="480" w:lineRule="auto"/>
        <w:rPr>
          <w:color w:val="1C1D1E"/>
        </w:rPr>
      </w:pPr>
      <w:proofErr w:type="spellStart"/>
      <w:r w:rsidRPr="00FB50E8">
        <w:rPr>
          <w:color w:val="1C1D1E"/>
        </w:rPr>
        <w:t>Sippel</w:t>
      </w:r>
      <w:proofErr w:type="spellEnd"/>
      <w:r w:rsidRPr="00FB50E8">
        <w:rPr>
          <w:color w:val="1C1D1E"/>
        </w:rPr>
        <w:t xml:space="preserve">, S., D. Mitchell, M. T. Black, A. J. </w:t>
      </w:r>
      <w:proofErr w:type="spellStart"/>
      <w:r w:rsidRPr="00FB50E8">
        <w:rPr>
          <w:color w:val="1C1D1E"/>
        </w:rPr>
        <w:t>Dittus</w:t>
      </w:r>
      <w:proofErr w:type="spellEnd"/>
      <w:r w:rsidRPr="00FB50E8">
        <w:rPr>
          <w:color w:val="1C1D1E"/>
        </w:rPr>
        <w:t xml:space="preserve">, L. Harrington, N. Schaller, and F. E. L. Otto, 2015: Combining large model ensembles with extreme value statistics to improve attribution statements of rare events. Weather and Climate Extremes, 9, 25–35, </w:t>
      </w:r>
      <w:hyperlink r:id="rId16" w:history="1">
        <w:r w:rsidRPr="00AC659E">
          <w:rPr>
            <w:rStyle w:val="Hyperlink"/>
          </w:rPr>
          <w:t>https://doi.org/10.1016/j.wace.2015.06.004</w:t>
        </w:r>
      </w:hyperlink>
      <w:r w:rsidRPr="00FB50E8">
        <w:rPr>
          <w:color w:val="1C1D1E"/>
        </w:rPr>
        <w:t>.</w:t>
      </w:r>
    </w:p>
    <w:p w14:paraId="7CA9EB9C" w14:textId="7A356CE4" w:rsidR="00FB50E8" w:rsidRDefault="00FB50E8" w:rsidP="00E83B3D">
      <w:pPr>
        <w:widowControl w:val="0"/>
        <w:shd w:val="clear" w:color="auto" w:fill="FFFFFF"/>
        <w:spacing w:before="200" w:line="480" w:lineRule="auto"/>
        <w:rPr>
          <w:color w:val="1C1D1E"/>
        </w:rPr>
      </w:pPr>
      <w:r w:rsidRPr="00FB50E8">
        <w:rPr>
          <w:color w:val="1C1D1E"/>
        </w:rPr>
        <w:t xml:space="preserve">Stone, D. A., and M. R. Allen, 2005: The End-to-End Attribution Problem: From Emissions to Impacts. Climatic Change, 71, 303–318, </w:t>
      </w:r>
      <w:hyperlink r:id="rId17" w:history="1">
        <w:r w:rsidRPr="00AC659E">
          <w:rPr>
            <w:rStyle w:val="Hyperlink"/>
          </w:rPr>
          <w:t>https://doi.org/10.1007/s10584-005-6778-2</w:t>
        </w:r>
      </w:hyperlink>
      <w:r w:rsidRPr="00FB50E8">
        <w:rPr>
          <w:color w:val="1C1D1E"/>
        </w:rPr>
        <w:t>.</w:t>
      </w:r>
    </w:p>
    <w:p w14:paraId="68A6E9B6" w14:textId="2650967C" w:rsidR="00362003" w:rsidRDefault="00F42152" w:rsidP="00E83B3D">
      <w:pPr>
        <w:widowControl w:val="0"/>
        <w:shd w:val="clear" w:color="auto" w:fill="FFFFFF"/>
        <w:spacing w:before="200" w:line="480" w:lineRule="auto"/>
        <w:rPr>
          <w:color w:val="333333"/>
        </w:rPr>
      </w:pPr>
      <w:r>
        <w:rPr>
          <w:color w:val="1C1D1E"/>
          <w:highlight w:val="white"/>
        </w:rPr>
        <w:t>Stott, P</w:t>
      </w:r>
      <w:r w:rsidR="00607A74">
        <w:rPr>
          <w:color w:val="1C1D1E"/>
          <w:highlight w:val="white"/>
        </w:rPr>
        <w:t xml:space="preserve">. </w:t>
      </w:r>
      <w:r>
        <w:rPr>
          <w:color w:val="1C1D1E"/>
          <w:highlight w:val="white"/>
        </w:rPr>
        <w:t>A., and Coauthors, 2016: Attribution of extreme weather and climate-related events.</w:t>
      </w:r>
      <w:r w:rsidR="00DE7E9F">
        <w:rPr>
          <w:color w:val="1C1D1E"/>
          <w:highlight w:val="white"/>
        </w:rPr>
        <w:t xml:space="preserve"> </w:t>
      </w:r>
      <w:r>
        <w:rPr>
          <w:color w:val="1C1D1E"/>
          <w:highlight w:val="white"/>
        </w:rPr>
        <w:t xml:space="preserve">WIRES </w:t>
      </w:r>
      <w:proofErr w:type="spellStart"/>
      <w:r>
        <w:rPr>
          <w:color w:val="1C1D1E"/>
          <w:highlight w:val="white"/>
        </w:rPr>
        <w:t>Clim</w:t>
      </w:r>
      <w:proofErr w:type="spellEnd"/>
      <w:r>
        <w:rPr>
          <w:color w:val="1C1D1E"/>
          <w:highlight w:val="white"/>
        </w:rPr>
        <w:t xml:space="preserve">. Change, </w:t>
      </w:r>
      <w:r w:rsidRPr="00607A74">
        <w:rPr>
          <w:b/>
          <w:bCs/>
          <w:color w:val="1C1D1E"/>
          <w:highlight w:val="white"/>
        </w:rPr>
        <w:t>7</w:t>
      </w:r>
      <w:r>
        <w:rPr>
          <w:color w:val="1C1D1E"/>
          <w:highlight w:val="white"/>
        </w:rPr>
        <w:t xml:space="preserve">, 23-41. </w:t>
      </w:r>
    </w:p>
    <w:p w14:paraId="6660E95F" w14:textId="5266EB70" w:rsidR="00362003" w:rsidRDefault="00F42152" w:rsidP="00E83B3D">
      <w:pPr>
        <w:widowControl w:val="0"/>
        <w:shd w:val="clear" w:color="auto" w:fill="FFFFFF"/>
        <w:spacing w:before="200" w:line="480" w:lineRule="auto"/>
        <w:rPr>
          <w:color w:val="333333"/>
        </w:rPr>
      </w:pPr>
      <w:r>
        <w:rPr>
          <w:color w:val="1C1D1E"/>
        </w:rPr>
        <w:t>Stott P</w:t>
      </w:r>
      <w:r w:rsidR="00607A74">
        <w:rPr>
          <w:color w:val="1C1D1E"/>
        </w:rPr>
        <w:t xml:space="preserve">. </w:t>
      </w:r>
      <w:r>
        <w:rPr>
          <w:color w:val="1C1D1E"/>
        </w:rPr>
        <w:t>A</w:t>
      </w:r>
      <w:r w:rsidR="00607A74">
        <w:rPr>
          <w:color w:val="1C1D1E"/>
        </w:rPr>
        <w:t>.</w:t>
      </w:r>
      <w:r>
        <w:rPr>
          <w:color w:val="1C1D1E"/>
          <w:highlight w:val="white"/>
        </w:rPr>
        <w:t xml:space="preserve">, </w:t>
      </w:r>
      <w:r w:rsidR="00607A74">
        <w:rPr>
          <w:color w:val="1C1D1E"/>
        </w:rPr>
        <w:t>and Coauthors, 2013:</w:t>
      </w:r>
      <w:r>
        <w:rPr>
          <w:color w:val="1C1D1E"/>
          <w:highlight w:val="white"/>
        </w:rPr>
        <w:t xml:space="preserve"> </w:t>
      </w:r>
      <w:r>
        <w:rPr>
          <w:color w:val="1C1D1E"/>
        </w:rPr>
        <w:t>Attribution of weather and climate‐related extreme events</w:t>
      </w:r>
      <w:r>
        <w:rPr>
          <w:color w:val="1C1D1E"/>
          <w:highlight w:val="white"/>
        </w:rPr>
        <w:t xml:space="preserve">. </w:t>
      </w:r>
      <w:r>
        <w:rPr>
          <w:i/>
          <w:color w:val="1C1D1E"/>
        </w:rPr>
        <w:lastRenderedPageBreak/>
        <w:t>Climate Science for Serving Society: Research, Modelling and Prediction Priorities</w:t>
      </w:r>
      <w:r w:rsidR="00607A74">
        <w:rPr>
          <w:i/>
          <w:color w:val="1C1D1E"/>
        </w:rPr>
        <w:t xml:space="preserve">, G. R. Asrar and </w:t>
      </w:r>
      <w:r w:rsidR="00BB584C">
        <w:rPr>
          <w:i/>
          <w:color w:val="1C1D1E"/>
        </w:rPr>
        <w:t>J. W. Hurrell eds.,</w:t>
      </w:r>
      <w:r w:rsidR="00DE7E9F">
        <w:rPr>
          <w:color w:val="1C1D1E"/>
          <w:highlight w:val="white"/>
        </w:rPr>
        <w:t xml:space="preserve"> </w:t>
      </w:r>
      <w:r>
        <w:rPr>
          <w:color w:val="1C1D1E"/>
          <w:highlight w:val="white"/>
        </w:rPr>
        <w:t>Springer,</w:t>
      </w:r>
      <w:r w:rsidR="00DE7E9F">
        <w:rPr>
          <w:color w:val="1C1D1E"/>
          <w:highlight w:val="white"/>
        </w:rPr>
        <w:t xml:space="preserve"> </w:t>
      </w:r>
      <w:r>
        <w:rPr>
          <w:color w:val="1C1D1E"/>
        </w:rPr>
        <w:t>307</w:t>
      </w:r>
      <w:r>
        <w:rPr>
          <w:color w:val="1C1D1E"/>
          <w:highlight w:val="white"/>
        </w:rPr>
        <w:t xml:space="preserve">– </w:t>
      </w:r>
      <w:r>
        <w:rPr>
          <w:color w:val="1C1D1E"/>
        </w:rPr>
        <w:t>337</w:t>
      </w:r>
      <w:r>
        <w:rPr>
          <w:color w:val="1C1D1E"/>
          <w:highlight w:val="white"/>
        </w:rPr>
        <w:t>.</w:t>
      </w:r>
    </w:p>
    <w:p w14:paraId="2EE5BDD3" w14:textId="368831BA" w:rsidR="00362003" w:rsidRDefault="00F42152" w:rsidP="00E83B3D">
      <w:pPr>
        <w:widowControl w:val="0"/>
        <w:spacing w:before="200" w:line="480" w:lineRule="auto"/>
      </w:pPr>
      <w:r>
        <w:rPr>
          <w:color w:val="333333"/>
        </w:rPr>
        <w:t xml:space="preserve">Sun, L., D. Allured, M. </w:t>
      </w:r>
      <w:proofErr w:type="spellStart"/>
      <w:r>
        <w:rPr>
          <w:color w:val="333333"/>
        </w:rPr>
        <w:t>Hoerling</w:t>
      </w:r>
      <w:proofErr w:type="spellEnd"/>
      <w:r>
        <w:rPr>
          <w:color w:val="333333"/>
        </w:rPr>
        <w:t xml:space="preserve">, L. Smith, J. </w:t>
      </w:r>
      <w:proofErr w:type="spellStart"/>
      <w:r>
        <w:rPr>
          <w:color w:val="333333"/>
        </w:rPr>
        <w:t>Perlwitz</w:t>
      </w:r>
      <w:proofErr w:type="spellEnd"/>
      <w:r>
        <w:rPr>
          <w:color w:val="333333"/>
        </w:rPr>
        <w:t xml:space="preserve">, and D. Murray, 2018: Drivers of 2016 record Arctic warmth assessed using climate simulations subjected to factual and counterfactual forcing. </w:t>
      </w:r>
      <w:r>
        <w:rPr>
          <w:i/>
          <w:color w:val="333333"/>
        </w:rPr>
        <w:t xml:space="preserve">Wea. </w:t>
      </w:r>
      <w:proofErr w:type="spellStart"/>
      <w:r>
        <w:rPr>
          <w:i/>
          <w:color w:val="333333"/>
        </w:rPr>
        <w:t>Clim</w:t>
      </w:r>
      <w:proofErr w:type="spellEnd"/>
      <w:r w:rsidR="00BB584C">
        <w:rPr>
          <w:i/>
          <w:color w:val="333333"/>
        </w:rPr>
        <w:t>.</w:t>
      </w:r>
      <w:r>
        <w:rPr>
          <w:i/>
          <w:color w:val="333333"/>
        </w:rPr>
        <w:t xml:space="preserve"> Extremes</w:t>
      </w:r>
      <w:r>
        <w:rPr>
          <w:color w:val="333333"/>
        </w:rPr>
        <w:t xml:space="preserve">, </w:t>
      </w:r>
      <w:r>
        <w:rPr>
          <w:b/>
          <w:color w:val="333333"/>
        </w:rPr>
        <w:t>19</w:t>
      </w:r>
      <w:r>
        <w:rPr>
          <w:color w:val="333333"/>
        </w:rPr>
        <w:t>, 1–9,</w:t>
      </w:r>
      <w:r>
        <w:t xml:space="preserve"> </w:t>
      </w:r>
      <w:hyperlink r:id="rId18">
        <w:r>
          <w:t>https://doi.org/10.1016/J.WACE.2017.11.001</w:t>
        </w:r>
      </w:hyperlink>
      <w:r>
        <w:t>.</w:t>
      </w:r>
    </w:p>
    <w:p w14:paraId="46E006D2" w14:textId="43DE61B8" w:rsidR="006F2BAE" w:rsidRDefault="006F2BAE" w:rsidP="00E83B3D">
      <w:pPr>
        <w:widowControl w:val="0"/>
        <w:shd w:val="clear" w:color="auto" w:fill="FFFFFF"/>
        <w:spacing w:before="200" w:after="580" w:line="480" w:lineRule="auto"/>
      </w:pPr>
      <w:r w:rsidRPr="006F2BAE">
        <w:t xml:space="preserve">Tamarin-Brodsky, T., K. Hodges, B. J. Hoskins, and T. G. Shepherd, 2020: Changes in Northern Hemisphere temperature variability shaped by regional warming patterns. Nat. </w:t>
      </w:r>
      <w:proofErr w:type="spellStart"/>
      <w:r w:rsidRPr="006F2BAE">
        <w:t>Geosci</w:t>
      </w:r>
      <w:proofErr w:type="spellEnd"/>
      <w:r w:rsidRPr="006F2BAE">
        <w:t xml:space="preserve">., 13, 414–421, </w:t>
      </w:r>
      <w:hyperlink r:id="rId19" w:history="1">
        <w:r w:rsidRPr="00AC659E">
          <w:rPr>
            <w:rStyle w:val="Hyperlink"/>
          </w:rPr>
          <w:t>https://doi.org/10.1038/s41561-020-0576-3</w:t>
        </w:r>
      </w:hyperlink>
      <w:r w:rsidRPr="006F2BAE">
        <w:t>.</w:t>
      </w:r>
    </w:p>
    <w:p w14:paraId="647A7395" w14:textId="2F7F6F5D" w:rsidR="008C2309" w:rsidRDefault="00F42152" w:rsidP="00E83B3D">
      <w:pPr>
        <w:widowControl w:val="0"/>
        <w:shd w:val="clear" w:color="auto" w:fill="FFFFFF"/>
        <w:spacing w:before="200" w:after="580" w:line="480" w:lineRule="auto"/>
      </w:pPr>
      <w:r>
        <w:t xml:space="preserve">van </w:t>
      </w:r>
      <w:proofErr w:type="spellStart"/>
      <w:r>
        <w:t>Oldenborgh</w:t>
      </w:r>
      <w:proofErr w:type="spellEnd"/>
      <w:r>
        <w:t>, G. J., and Coauthors, 2017: Attribution</w:t>
      </w:r>
      <w:r w:rsidR="00DE7E9F">
        <w:t xml:space="preserve"> </w:t>
      </w:r>
      <w:r>
        <w:t>of extreme rainfall from Hurricane Harvey, August</w:t>
      </w:r>
      <w:r w:rsidR="00DE7E9F">
        <w:t xml:space="preserve"> </w:t>
      </w:r>
      <w:r>
        <w:t xml:space="preserve">2017. </w:t>
      </w:r>
      <w:r>
        <w:rPr>
          <w:i/>
        </w:rPr>
        <w:t xml:space="preserve">Environ. Res. Lett., </w:t>
      </w:r>
      <w:r>
        <w:rPr>
          <w:b/>
        </w:rPr>
        <w:t xml:space="preserve">12, </w:t>
      </w:r>
      <w:r>
        <w:t xml:space="preserve">124009, https://doi .org/10.1088/1748-9326/aa9ef2. </w:t>
      </w:r>
    </w:p>
    <w:p w14:paraId="04BFBEEF" w14:textId="4D21F28F" w:rsidR="00DE7E9F" w:rsidRDefault="008C2309" w:rsidP="00E83B3D">
      <w:pPr>
        <w:widowControl w:val="0"/>
        <w:shd w:val="clear" w:color="auto" w:fill="FFFFFF"/>
        <w:spacing w:before="200" w:after="580" w:line="480" w:lineRule="auto"/>
      </w:pPr>
      <w:r w:rsidRPr="008C2309">
        <w:t xml:space="preserve">Zhou, L., </w:t>
      </w:r>
      <w:r w:rsidR="00BB584C">
        <w:t xml:space="preserve">S. </w:t>
      </w:r>
      <w:r w:rsidRPr="008C2309">
        <w:t xml:space="preserve">Lin, </w:t>
      </w:r>
      <w:r w:rsidR="00BB584C">
        <w:t xml:space="preserve">J. </w:t>
      </w:r>
      <w:r w:rsidRPr="008C2309">
        <w:t xml:space="preserve">Chen, </w:t>
      </w:r>
      <w:r w:rsidR="00BB584C">
        <w:t xml:space="preserve">L. M. </w:t>
      </w:r>
      <w:r w:rsidRPr="008C2309">
        <w:t xml:space="preserve">Harris, </w:t>
      </w:r>
      <w:r w:rsidR="00BB584C">
        <w:t xml:space="preserve">X. </w:t>
      </w:r>
      <w:r w:rsidRPr="008C2309">
        <w:t xml:space="preserve">Chen, </w:t>
      </w:r>
      <w:r w:rsidR="00BB584C">
        <w:t>and S. L.</w:t>
      </w:r>
      <w:r w:rsidRPr="008C2309">
        <w:t xml:space="preserve"> Rees, 2019</w:t>
      </w:r>
      <w:r w:rsidR="00BB584C">
        <w:t>:</w:t>
      </w:r>
      <w:r w:rsidRPr="008C2309">
        <w:t xml:space="preserve"> Toward Convective-Scale Prediction within the Next Generation Global Prediction System, </w:t>
      </w:r>
      <w:r w:rsidR="00BB584C" w:rsidRPr="00850C6D">
        <w:rPr>
          <w:i/>
          <w:iCs/>
        </w:rPr>
        <w:t>Bull. Amer. Meteor. Soc.</w:t>
      </w:r>
      <w:r w:rsidRPr="008C2309">
        <w:t xml:space="preserve">, </w:t>
      </w:r>
      <w:r w:rsidRPr="00BB584C">
        <w:rPr>
          <w:b/>
          <w:bCs/>
        </w:rPr>
        <w:t>100</w:t>
      </w:r>
      <w:r w:rsidRPr="008C2309">
        <w:t>, 1225-1243</w:t>
      </w:r>
      <w:r w:rsidR="00DE7E9F">
        <w:br w:type="page"/>
      </w:r>
    </w:p>
    <w:p w14:paraId="0D537E1B" w14:textId="77777777" w:rsidR="00C763ED" w:rsidRDefault="00C763ED" w:rsidP="00C763ED">
      <w:pPr>
        <w:spacing w:line="480" w:lineRule="auto"/>
        <w:ind w:firstLine="720"/>
      </w:pPr>
    </w:p>
    <w:p w14:paraId="57199BC3" w14:textId="77777777" w:rsidR="00C763ED" w:rsidRDefault="00C763ED" w:rsidP="00C763ED">
      <w:pPr>
        <w:spacing w:line="480" w:lineRule="auto"/>
      </w:pPr>
      <w:r>
        <w:rPr>
          <w:rFonts w:ascii="Calibri" w:eastAsia="Calibri" w:hAnsi="Calibri" w:cs="Calibri"/>
          <w:noProof/>
        </w:rPr>
        <w:drawing>
          <wp:inline distT="114300" distB="114300" distL="114300" distR="114300" wp14:anchorId="29402F64" wp14:editId="1E66DADC">
            <wp:extent cx="5943600" cy="1917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43600" cy="1917700"/>
                    </a:xfrm>
                    <a:prstGeom prst="rect">
                      <a:avLst/>
                    </a:prstGeom>
                    <a:ln/>
                  </pic:spPr>
                </pic:pic>
              </a:graphicData>
            </a:graphic>
          </wp:inline>
        </w:drawing>
      </w:r>
      <w:r>
        <w:t xml:space="preserve"> </w:t>
      </w:r>
    </w:p>
    <w:p w14:paraId="0C796C66" w14:textId="77777777" w:rsidR="00C763ED" w:rsidRDefault="00C763ED" w:rsidP="00C763ED">
      <w:pPr>
        <w:spacing w:line="480" w:lineRule="auto"/>
        <w:rPr>
          <w:rFonts w:ascii="Calibri" w:eastAsia="Calibri" w:hAnsi="Calibri" w:cs="Calibri"/>
        </w:rPr>
      </w:pPr>
      <w:r w:rsidRPr="007F32A1">
        <w:rPr>
          <w:b/>
        </w:rPr>
        <w:t>Figure 1</w:t>
      </w:r>
      <w:r>
        <w:t xml:space="preserve">. </w:t>
      </w:r>
      <w:r w:rsidRPr="00AD44D2">
        <w:rPr>
          <w:i/>
          <w:iCs/>
        </w:rPr>
        <w:t>Climat</w:t>
      </w:r>
      <w:r>
        <w:rPr>
          <w:i/>
          <w:iCs/>
        </w:rPr>
        <w:t>ic</w:t>
      </w:r>
      <w:r w:rsidRPr="00AD44D2">
        <w:rPr>
          <w:i/>
          <w:iCs/>
        </w:rPr>
        <w:t xml:space="preserve"> trends lead to challenges in attribution of temperature and drought.</w:t>
      </w:r>
      <w:r w:rsidRPr="00AD44D2">
        <w:t xml:space="preserve">  </w:t>
      </w:r>
      <w:r>
        <w:rPr>
          <w:rFonts w:eastAsia="Calibri"/>
          <w:i/>
        </w:rPr>
        <w:t>S</w:t>
      </w:r>
      <w:r w:rsidRPr="00AD44D2">
        <w:rPr>
          <w:rFonts w:eastAsia="Calibri"/>
          <w:i/>
        </w:rPr>
        <w:t>ummer</w:t>
      </w:r>
      <w:r>
        <w:rPr>
          <w:rFonts w:eastAsia="Calibri"/>
          <w:i/>
        </w:rPr>
        <w:t xml:space="preserve"> (JJA) daily</w:t>
      </w:r>
      <w:r w:rsidRPr="00AD44D2">
        <w:rPr>
          <w:rFonts w:eastAsia="Calibri"/>
          <w:i/>
        </w:rPr>
        <w:t xml:space="preserve"> maximum surface air temperature (°C, left</w:t>
      </w:r>
      <w:r>
        <w:rPr>
          <w:rFonts w:eastAsia="Calibri"/>
          <w:i/>
        </w:rPr>
        <w:t xml:space="preserve">) shows no positive trend over the central U. S. (black box) whereas daily </w:t>
      </w:r>
      <w:r w:rsidRPr="00AD44D2">
        <w:rPr>
          <w:rFonts w:eastAsia="Calibri"/>
          <w:i/>
        </w:rPr>
        <w:t>minimum surface air temperature (°C, middle)</w:t>
      </w:r>
      <w:r>
        <w:rPr>
          <w:rFonts w:eastAsia="Calibri"/>
          <w:i/>
        </w:rPr>
        <w:t xml:space="preserve"> has warmed. Precipitation </w:t>
      </w:r>
      <w:r w:rsidRPr="00AD44D2">
        <w:rPr>
          <w:rFonts w:eastAsia="Calibri"/>
          <w:i/>
        </w:rPr>
        <w:t>(mm, right)</w:t>
      </w:r>
      <w:r>
        <w:rPr>
          <w:rFonts w:eastAsia="Calibri"/>
          <w:i/>
        </w:rPr>
        <w:t xml:space="preserve"> has increased over this area consistent with increasing soil moisture</w:t>
      </w:r>
      <w:r w:rsidRPr="00AD44D2">
        <w:rPr>
          <w:rFonts w:eastAsia="Calibri"/>
          <w:i/>
        </w:rPr>
        <w:t xml:space="preserve">.  </w:t>
      </w:r>
      <w:r>
        <w:rPr>
          <w:rFonts w:eastAsia="Calibri"/>
          <w:i/>
        </w:rPr>
        <w:t xml:space="preserve">Change maps (upper row) are for the period 1920-2019, determined from endpoints of a linear regression fit. </w:t>
      </w:r>
      <w:r w:rsidRPr="00AD44D2">
        <w:rPr>
          <w:rFonts w:eastAsia="Calibri"/>
          <w:i/>
        </w:rPr>
        <w:t>The time series</w:t>
      </w:r>
      <w:r>
        <w:rPr>
          <w:rFonts w:eastAsia="Calibri"/>
          <w:i/>
        </w:rPr>
        <w:t xml:space="preserve"> for the central U. S. region </w:t>
      </w:r>
      <w:r w:rsidRPr="00AD44D2">
        <w:rPr>
          <w:rFonts w:eastAsia="Calibri"/>
          <w:i/>
        </w:rPr>
        <w:t xml:space="preserve">(lower panels) are for the 1895-2019 </w:t>
      </w:r>
      <w:r>
        <w:rPr>
          <w:rFonts w:eastAsia="Calibri"/>
          <w:i/>
        </w:rPr>
        <w:t xml:space="preserve">departures </w:t>
      </w:r>
      <w:r w:rsidRPr="00AD44D2">
        <w:rPr>
          <w:rFonts w:eastAsia="Calibri"/>
          <w:i/>
        </w:rPr>
        <w:t>relative to a 1895-2019 mean</w:t>
      </w:r>
      <w:r>
        <w:rPr>
          <w:rFonts w:eastAsia="Calibri"/>
          <w:i/>
        </w:rPr>
        <w:t>. The</w:t>
      </w:r>
      <w:r w:rsidRPr="00AD44D2">
        <w:rPr>
          <w:rFonts w:eastAsia="Calibri"/>
          <w:i/>
        </w:rPr>
        <w:t xml:space="preserve"> 1920-2019 linear trend is shown by the superposed line.</w:t>
      </w:r>
      <w:r>
        <w:rPr>
          <w:rFonts w:ascii="Calibri" w:eastAsia="Calibri" w:hAnsi="Calibri" w:cs="Calibri"/>
          <w:i/>
        </w:rPr>
        <w:t xml:space="preserve"> </w:t>
      </w:r>
    </w:p>
    <w:p w14:paraId="0B5442BD" w14:textId="3DD3431A" w:rsidR="00C763ED" w:rsidRDefault="00C763ED">
      <w:pPr>
        <w:spacing w:line="276" w:lineRule="auto"/>
      </w:pPr>
      <w:r>
        <w:br w:type="page"/>
      </w:r>
    </w:p>
    <w:p w14:paraId="59812921" w14:textId="77777777" w:rsidR="00C763ED" w:rsidRDefault="00C763ED" w:rsidP="00C763ED">
      <w:pPr>
        <w:spacing w:line="480" w:lineRule="auto"/>
        <w:ind w:left="720"/>
      </w:pPr>
      <w:r>
        <w:rPr>
          <w:noProof/>
        </w:rPr>
        <w:lastRenderedPageBreak/>
        <w:drawing>
          <wp:inline distT="114300" distB="114300" distL="114300" distR="114300" wp14:anchorId="502B2764" wp14:editId="229300DF">
            <wp:extent cx="5462013" cy="415739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a:off x="0" y="0"/>
                      <a:ext cx="5462013" cy="4157392"/>
                    </a:xfrm>
                    <a:prstGeom prst="rect">
                      <a:avLst/>
                    </a:prstGeom>
                    <a:ln/>
                  </pic:spPr>
                </pic:pic>
              </a:graphicData>
            </a:graphic>
          </wp:inline>
        </w:drawing>
      </w:r>
    </w:p>
    <w:p w14:paraId="4B13C2F6" w14:textId="77777777" w:rsidR="00C763ED" w:rsidRDefault="00C763ED" w:rsidP="00C763ED">
      <w:pPr>
        <w:spacing w:line="480" w:lineRule="auto"/>
      </w:pPr>
      <w:r w:rsidRPr="007F32A1">
        <w:rPr>
          <w:b/>
        </w:rPr>
        <w:t>Figure 2</w:t>
      </w:r>
      <w:r>
        <w:t xml:space="preserve">: </w:t>
      </w:r>
      <w:r w:rsidRPr="0029660B">
        <w:rPr>
          <w:i/>
          <w:iCs/>
        </w:rPr>
        <w:t>Key</w:t>
      </w:r>
      <w:r>
        <w:t xml:space="preserve"> </w:t>
      </w:r>
      <w:r>
        <w:rPr>
          <w:i/>
        </w:rPr>
        <w:t>o</w:t>
      </w:r>
      <w:r w:rsidRPr="007F32A1">
        <w:rPr>
          <w:i/>
        </w:rPr>
        <w:t xml:space="preserve">bjectives of the rapid attribution prototype viewed as an iterative development process. </w:t>
      </w:r>
    </w:p>
    <w:p w14:paraId="6CC2002E" w14:textId="77777777" w:rsidR="00C763ED" w:rsidRDefault="00C763ED" w:rsidP="00E83B3D">
      <w:pPr>
        <w:spacing w:line="480" w:lineRule="auto"/>
      </w:pPr>
      <w:bookmarkStart w:id="0" w:name="_GoBack"/>
      <w:bookmarkEnd w:id="0"/>
    </w:p>
    <w:sectPr w:rsidR="00C763ED" w:rsidSect="00DE7E9F">
      <w:headerReference w:type="default" r:id="rId22"/>
      <w:pgSz w:w="12240" w:h="15840"/>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C4953" w14:textId="77777777" w:rsidR="00707BBB" w:rsidRDefault="00707BBB">
      <w:r>
        <w:separator/>
      </w:r>
    </w:p>
  </w:endnote>
  <w:endnote w:type="continuationSeparator" w:id="0">
    <w:p w14:paraId="4D206942" w14:textId="77777777" w:rsidR="00707BBB" w:rsidRDefault="00707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E3145" w14:textId="77777777" w:rsidR="00707BBB" w:rsidRDefault="00707BBB">
      <w:r>
        <w:separator/>
      </w:r>
    </w:p>
  </w:footnote>
  <w:footnote w:type="continuationSeparator" w:id="0">
    <w:p w14:paraId="48B938AD" w14:textId="77777777" w:rsidR="00707BBB" w:rsidRDefault="00707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C7E05" w14:textId="77777777" w:rsidR="00703462" w:rsidRDefault="00703462">
    <w:pPr>
      <w:jc w:val="right"/>
    </w:pPr>
    <w:r>
      <w:fldChar w:fldCharType="begin"/>
    </w:r>
    <w:r>
      <w:instrText>PAGE</w:instrText>
    </w:r>
    <w:r>
      <w:fldChar w:fldCharType="separate"/>
    </w:r>
    <w:r>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76976"/>
    <w:multiLevelType w:val="multilevel"/>
    <w:tmpl w:val="59407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D955D8"/>
    <w:multiLevelType w:val="multilevel"/>
    <w:tmpl w:val="0518E7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85B091F"/>
    <w:multiLevelType w:val="multilevel"/>
    <w:tmpl w:val="3CC83A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003"/>
    <w:rsid w:val="00026711"/>
    <w:rsid w:val="00033E68"/>
    <w:rsid w:val="00066C77"/>
    <w:rsid w:val="000B165A"/>
    <w:rsid w:val="000B1690"/>
    <w:rsid w:val="000B7DB1"/>
    <w:rsid w:val="000F6039"/>
    <w:rsid w:val="000F77C5"/>
    <w:rsid w:val="00104CFA"/>
    <w:rsid w:val="0010753D"/>
    <w:rsid w:val="001227CA"/>
    <w:rsid w:val="00123B81"/>
    <w:rsid w:val="00161B29"/>
    <w:rsid w:val="00167E10"/>
    <w:rsid w:val="001724A8"/>
    <w:rsid w:val="00193531"/>
    <w:rsid w:val="001A0BDB"/>
    <w:rsid w:val="001A2F5B"/>
    <w:rsid w:val="001B531E"/>
    <w:rsid w:val="001B6A5F"/>
    <w:rsid w:val="001F5073"/>
    <w:rsid w:val="00200331"/>
    <w:rsid w:val="002008AB"/>
    <w:rsid w:val="0020091A"/>
    <w:rsid w:val="00205703"/>
    <w:rsid w:val="00225CAE"/>
    <w:rsid w:val="00232586"/>
    <w:rsid w:val="0026050E"/>
    <w:rsid w:val="00270864"/>
    <w:rsid w:val="0029660B"/>
    <w:rsid w:val="002C1F33"/>
    <w:rsid w:val="002D1658"/>
    <w:rsid w:val="003033FB"/>
    <w:rsid w:val="00306246"/>
    <w:rsid w:val="00316DD6"/>
    <w:rsid w:val="00325271"/>
    <w:rsid w:val="00352ECB"/>
    <w:rsid w:val="00362003"/>
    <w:rsid w:val="00363FA4"/>
    <w:rsid w:val="00390C2E"/>
    <w:rsid w:val="003A3F5D"/>
    <w:rsid w:val="003C0754"/>
    <w:rsid w:val="0040734F"/>
    <w:rsid w:val="00441686"/>
    <w:rsid w:val="004501F7"/>
    <w:rsid w:val="004519F0"/>
    <w:rsid w:val="00473DD0"/>
    <w:rsid w:val="004966D3"/>
    <w:rsid w:val="004C3E89"/>
    <w:rsid w:val="004C5870"/>
    <w:rsid w:val="004D6D76"/>
    <w:rsid w:val="00534422"/>
    <w:rsid w:val="00563A71"/>
    <w:rsid w:val="005941DB"/>
    <w:rsid w:val="005969D0"/>
    <w:rsid w:val="00597074"/>
    <w:rsid w:val="005978F0"/>
    <w:rsid w:val="005E0C4D"/>
    <w:rsid w:val="005E2F53"/>
    <w:rsid w:val="005F35AD"/>
    <w:rsid w:val="00607A74"/>
    <w:rsid w:val="006112CF"/>
    <w:rsid w:val="00612875"/>
    <w:rsid w:val="00647449"/>
    <w:rsid w:val="0065588F"/>
    <w:rsid w:val="0068613B"/>
    <w:rsid w:val="006E2CEF"/>
    <w:rsid w:val="006E3745"/>
    <w:rsid w:val="006E7A97"/>
    <w:rsid w:val="006F2BAE"/>
    <w:rsid w:val="00703462"/>
    <w:rsid w:val="00705D62"/>
    <w:rsid w:val="00707BBB"/>
    <w:rsid w:val="007142E7"/>
    <w:rsid w:val="0071592D"/>
    <w:rsid w:val="0072187B"/>
    <w:rsid w:val="00725427"/>
    <w:rsid w:val="00777D4D"/>
    <w:rsid w:val="007F32A1"/>
    <w:rsid w:val="008118BA"/>
    <w:rsid w:val="008202FB"/>
    <w:rsid w:val="00830B85"/>
    <w:rsid w:val="00850C6D"/>
    <w:rsid w:val="008C0CD2"/>
    <w:rsid w:val="008C2309"/>
    <w:rsid w:val="008E0BDD"/>
    <w:rsid w:val="008E3917"/>
    <w:rsid w:val="00913E65"/>
    <w:rsid w:val="00915489"/>
    <w:rsid w:val="00917A76"/>
    <w:rsid w:val="00936A7F"/>
    <w:rsid w:val="00940A5C"/>
    <w:rsid w:val="00942B16"/>
    <w:rsid w:val="00953DE0"/>
    <w:rsid w:val="0095527C"/>
    <w:rsid w:val="00962B82"/>
    <w:rsid w:val="00964F3A"/>
    <w:rsid w:val="009D7CE7"/>
    <w:rsid w:val="009E0ADE"/>
    <w:rsid w:val="00A119EF"/>
    <w:rsid w:val="00A1302D"/>
    <w:rsid w:val="00A1333D"/>
    <w:rsid w:val="00A2611E"/>
    <w:rsid w:val="00A42905"/>
    <w:rsid w:val="00A531BF"/>
    <w:rsid w:val="00A71A61"/>
    <w:rsid w:val="00A773C0"/>
    <w:rsid w:val="00AA560C"/>
    <w:rsid w:val="00AA6488"/>
    <w:rsid w:val="00AC0CA6"/>
    <w:rsid w:val="00AD44D2"/>
    <w:rsid w:val="00B102A5"/>
    <w:rsid w:val="00B250B0"/>
    <w:rsid w:val="00B34068"/>
    <w:rsid w:val="00BA62D1"/>
    <w:rsid w:val="00BB584C"/>
    <w:rsid w:val="00BE4612"/>
    <w:rsid w:val="00BE53D3"/>
    <w:rsid w:val="00C1699E"/>
    <w:rsid w:val="00C23F88"/>
    <w:rsid w:val="00C303DA"/>
    <w:rsid w:val="00C36D1A"/>
    <w:rsid w:val="00C448C3"/>
    <w:rsid w:val="00C763ED"/>
    <w:rsid w:val="00C82E09"/>
    <w:rsid w:val="00CA192E"/>
    <w:rsid w:val="00CD56BB"/>
    <w:rsid w:val="00CF3DC6"/>
    <w:rsid w:val="00CF4777"/>
    <w:rsid w:val="00D048DA"/>
    <w:rsid w:val="00D24065"/>
    <w:rsid w:val="00D31D86"/>
    <w:rsid w:val="00D3339B"/>
    <w:rsid w:val="00D37173"/>
    <w:rsid w:val="00D55FF8"/>
    <w:rsid w:val="00D5757A"/>
    <w:rsid w:val="00D70109"/>
    <w:rsid w:val="00D74625"/>
    <w:rsid w:val="00D8186B"/>
    <w:rsid w:val="00DA0804"/>
    <w:rsid w:val="00DD2B6B"/>
    <w:rsid w:val="00DE7E9F"/>
    <w:rsid w:val="00E81D57"/>
    <w:rsid w:val="00E83B3D"/>
    <w:rsid w:val="00E83E14"/>
    <w:rsid w:val="00E927CD"/>
    <w:rsid w:val="00EC2715"/>
    <w:rsid w:val="00EF13C4"/>
    <w:rsid w:val="00F20D65"/>
    <w:rsid w:val="00F3093B"/>
    <w:rsid w:val="00F32033"/>
    <w:rsid w:val="00F41421"/>
    <w:rsid w:val="00F42152"/>
    <w:rsid w:val="00F52109"/>
    <w:rsid w:val="00F747CE"/>
    <w:rsid w:val="00F957DF"/>
    <w:rsid w:val="00FB10FF"/>
    <w:rsid w:val="00FB50E8"/>
    <w:rsid w:val="00FC5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E9109"/>
  <w15:docId w15:val="{A3CC3695-877D-814B-9272-97E8EF24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093B"/>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LineNumber">
    <w:name w:val="line number"/>
    <w:basedOn w:val="DefaultParagraphFont"/>
    <w:uiPriority w:val="99"/>
    <w:semiHidden/>
    <w:unhideWhenUsed/>
    <w:rsid w:val="00DE7E9F"/>
  </w:style>
  <w:style w:type="paragraph" w:styleId="ListParagraph">
    <w:name w:val="List Paragraph"/>
    <w:basedOn w:val="Normal"/>
    <w:uiPriority w:val="34"/>
    <w:qFormat/>
    <w:rsid w:val="0072187B"/>
    <w:pPr>
      <w:ind w:left="720"/>
      <w:contextualSpacing/>
    </w:pPr>
  </w:style>
  <w:style w:type="paragraph" w:customStyle="1" w:styleId="ParagraphText">
    <w:name w:val="Paragraph Text"/>
    <w:qFormat/>
    <w:rsid w:val="0072187B"/>
    <w:pPr>
      <w:snapToGrid w:val="0"/>
      <w:spacing w:before="120" w:line="480" w:lineRule="auto"/>
      <w:ind w:firstLine="360"/>
    </w:pPr>
    <w:rPr>
      <w:rFonts w:ascii="Times New Roman" w:eastAsia="Times New Roman" w:hAnsi="Times New Roman" w:cs="Times New Roman"/>
      <w:sz w:val="24"/>
      <w:szCs w:val="20"/>
      <w:lang w:val="en-US"/>
    </w:rPr>
  </w:style>
  <w:style w:type="paragraph" w:customStyle="1" w:styleId="ComponentName2">
    <w:name w:val="Component Name 2"/>
    <w:next w:val="ParagraphText"/>
    <w:qFormat/>
    <w:rsid w:val="0072187B"/>
    <w:pPr>
      <w:snapToGrid w:val="0"/>
      <w:spacing w:before="120" w:line="240" w:lineRule="auto"/>
      <w:outlineLvl w:val="0"/>
    </w:pPr>
    <w:rPr>
      <w:rFonts w:ascii="Times New Roman" w:eastAsia="Times New Roman" w:hAnsi="Times New Roman" w:cs="Times New Roman"/>
      <w:i/>
      <w:kern w:val="28"/>
      <w:sz w:val="24"/>
      <w:szCs w:val="20"/>
      <w:lang w:val="en-US"/>
    </w:rPr>
  </w:style>
  <w:style w:type="paragraph" w:styleId="BalloonText">
    <w:name w:val="Balloon Text"/>
    <w:basedOn w:val="Normal"/>
    <w:link w:val="BalloonTextChar"/>
    <w:uiPriority w:val="99"/>
    <w:semiHidden/>
    <w:unhideWhenUsed/>
    <w:rsid w:val="00A71A61"/>
    <w:rPr>
      <w:sz w:val="18"/>
      <w:szCs w:val="18"/>
    </w:rPr>
  </w:style>
  <w:style w:type="character" w:customStyle="1" w:styleId="BalloonTextChar">
    <w:name w:val="Balloon Text Char"/>
    <w:basedOn w:val="DefaultParagraphFont"/>
    <w:link w:val="BalloonText"/>
    <w:uiPriority w:val="99"/>
    <w:semiHidden/>
    <w:rsid w:val="00A71A61"/>
    <w:rPr>
      <w:rFonts w:ascii="Times New Roman" w:hAnsi="Times New Roman" w:cs="Times New Roman"/>
      <w:sz w:val="18"/>
      <w:szCs w:val="18"/>
    </w:rPr>
  </w:style>
  <w:style w:type="character" w:customStyle="1" w:styleId="apple-converted-space">
    <w:name w:val="apple-converted-space"/>
    <w:basedOn w:val="DefaultParagraphFont"/>
    <w:rsid w:val="00850C6D"/>
  </w:style>
  <w:style w:type="character" w:styleId="Hyperlink">
    <w:name w:val="Hyperlink"/>
    <w:basedOn w:val="DefaultParagraphFont"/>
    <w:uiPriority w:val="99"/>
    <w:unhideWhenUsed/>
    <w:rsid w:val="00850C6D"/>
    <w:rPr>
      <w:color w:val="0000FF"/>
      <w:u w:val="single"/>
    </w:rPr>
  </w:style>
  <w:style w:type="character" w:styleId="CommentReference">
    <w:name w:val="annotation reference"/>
    <w:basedOn w:val="DefaultParagraphFont"/>
    <w:uiPriority w:val="99"/>
    <w:semiHidden/>
    <w:unhideWhenUsed/>
    <w:rsid w:val="00D55FF8"/>
    <w:rPr>
      <w:sz w:val="16"/>
      <w:szCs w:val="16"/>
    </w:rPr>
  </w:style>
  <w:style w:type="paragraph" w:styleId="CommentText">
    <w:name w:val="annotation text"/>
    <w:basedOn w:val="Normal"/>
    <w:link w:val="CommentTextChar"/>
    <w:uiPriority w:val="99"/>
    <w:unhideWhenUsed/>
    <w:rsid w:val="00D55FF8"/>
    <w:rPr>
      <w:sz w:val="20"/>
      <w:szCs w:val="20"/>
    </w:rPr>
  </w:style>
  <w:style w:type="character" w:customStyle="1" w:styleId="CommentTextChar">
    <w:name w:val="Comment Text Char"/>
    <w:basedOn w:val="DefaultParagraphFont"/>
    <w:link w:val="CommentText"/>
    <w:uiPriority w:val="99"/>
    <w:rsid w:val="00D55FF8"/>
    <w:rPr>
      <w:sz w:val="20"/>
      <w:szCs w:val="20"/>
    </w:rPr>
  </w:style>
  <w:style w:type="paragraph" w:styleId="CommentSubject">
    <w:name w:val="annotation subject"/>
    <w:basedOn w:val="CommentText"/>
    <w:next w:val="CommentText"/>
    <w:link w:val="CommentSubjectChar"/>
    <w:uiPriority w:val="99"/>
    <w:semiHidden/>
    <w:unhideWhenUsed/>
    <w:rsid w:val="00D55FF8"/>
    <w:rPr>
      <w:b/>
      <w:bCs/>
    </w:rPr>
  </w:style>
  <w:style w:type="character" w:customStyle="1" w:styleId="CommentSubjectChar">
    <w:name w:val="Comment Subject Char"/>
    <w:basedOn w:val="CommentTextChar"/>
    <w:link w:val="CommentSubject"/>
    <w:uiPriority w:val="99"/>
    <w:semiHidden/>
    <w:rsid w:val="00D55FF8"/>
    <w:rPr>
      <w:b/>
      <w:bCs/>
      <w:sz w:val="20"/>
      <w:szCs w:val="20"/>
    </w:rPr>
  </w:style>
  <w:style w:type="paragraph" w:styleId="Revision">
    <w:name w:val="Revision"/>
    <w:hidden/>
    <w:uiPriority w:val="99"/>
    <w:semiHidden/>
    <w:rsid w:val="000B165A"/>
    <w:pPr>
      <w:spacing w:line="240" w:lineRule="auto"/>
    </w:pPr>
  </w:style>
  <w:style w:type="character" w:styleId="UnresolvedMention">
    <w:name w:val="Unresolved Mention"/>
    <w:basedOn w:val="DefaultParagraphFont"/>
    <w:uiPriority w:val="99"/>
    <w:semiHidden/>
    <w:unhideWhenUsed/>
    <w:rsid w:val="00E927CD"/>
    <w:rPr>
      <w:color w:val="605E5C"/>
      <w:shd w:val="clear" w:color="auto" w:fill="E1DFDD"/>
    </w:rPr>
  </w:style>
  <w:style w:type="character" w:styleId="Emphasis">
    <w:name w:val="Emphasis"/>
    <w:basedOn w:val="DefaultParagraphFont"/>
    <w:uiPriority w:val="20"/>
    <w:qFormat/>
    <w:rsid w:val="00167E10"/>
    <w:rPr>
      <w:i/>
      <w:iCs/>
    </w:rPr>
  </w:style>
  <w:style w:type="character" w:styleId="FollowedHyperlink">
    <w:name w:val="FollowedHyperlink"/>
    <w:basedOn w:val="DefaultParagraphFont"/>
    <w:uiPriority w:val="99"/>
    <w:semiHidden/>
    <w:unhideWhenUsed/>
    <w:rsid w:val="00E83B3D"/>
    <w:rPr>
      <w:color w:val="800080" w:themeColor="followedHyperlink"/>
      <w:u w:val="single"/>
    </w:rPr>
  </w:style>
  <w:style w:type="paragraph" w:styleId="Bibliography">
    <w:name w:val="Bibliography"/>
    <w:basedOn w:val="Normal"/>
    <w:next w:val="Normal"/>
    <w:uiPriority w:val="37"/>
    <w:semiHidden/>
    <w:unhideWhenUsed/>
    <w:rsid w:val="006F2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61956">
      <w:bodyDiv w:val="1"/>
      <w:marLeft w:val="0"/>
      <w:marRight w:val="0"/>
      <w:marTop w:val="0"/>
      <w:marBottom w:val="0"/>
      <w:divBdr>
        <w:top w:val="none" w:sz="0" w:space="0" w:color="auto"/>
        <w:left w:val="none" w:sz="0" w:space="0" w:color="auto"/>
        <w:bottom w:val="none" w:sz="0" w:space="0" w:color="auto"/>
        <w:right w:val="none" w:sz="0" w:space="0" w:color="auto"/>
      </w:divBdr>
    </w:div>
    <w:div w:id="217128986">
      <w:bodyDiv w:val="1"/>
      <w:marLeft w:val="0"/>
      <w:marRight w:val="0"/>
      <w:marTop w:val="0"/>
      <w:marBottom w:val="0"/>
      <w:divBdr>
        <w:top w:val="none" w:sz="0" w:space="0" w:color="auto"/>
        <w:left w:val="none" w:sz="0" w:space="0" w:color="auto"/>
        <w:bottom w:val="none" w:sz="0" w:space="0" w:color="auto"/>
        <w:right w:val="none" w:sz="0" w:space="0" w:color="auto"/>
      </w:divBdr>
    </w:div>
    <w:div w:id="450831458">
      <w:bodyDiv w:val="1"/>
      <w:marLeft w:val="0"/>
      <w:marRight w:val="0"/>
      <w:marTop w:val="0"/>
      <w:marBottom w:val="0"/>
      <w:divBdr>
        <w:top w:val="none" w:sz="0" w:space="0" w:color="auto"/>
        <w:left w:val="none" w:sz="0" w:space="0" w:color="auto"/>
        <w:bottom w:val="none" w:sz="0" w:space="0" w:color="auto"/>
        <w:right w:val="none" w:sz="0" w:space="0" w:color="auto"/>
      </w:divBdr>
    </w:div>
    <w:div w:id="587537615">
      <w:bodyDiv w:val="1"/>
      <w:marLeft w:val="0"/>
      <w:marRight w:val="0"/>
      <w:marTop w:val="0"/>
      <w:marBottom w:val="0"/>
      <w:divBdr>
        <w:top w:val="none" w:sz="0" w:space="0" w:color="auto"/>
        <w:left w:val="none" w:sz="0" w:space="0" w:color="auto"/>
        <w:bottom w:val="none" w:sz="0" w:space="0" w:color="auto"/>
        <w:right w:val="none" w:sz="0" w:space="0" w:color="auto"/>
      </w:divBdr>
    </w:div>
    <w:div w:id="680737552">
      <w:bodyDiv w:val="1"/>
      <w:marLeft w:val="0"/>
      <w:marRight w:val="0"/>
      <w:marTop w:val="0"/>
      <w:marBottom w:val="0"/>
      <w:divBdr>
        <w:top w:val="none" w:sz="0" w:space="0" w:color="auto"/>
        <w:left w:val="none" w:sz="0" w:space="0" w:color="auto"/>
        <w:bottom w:val="none" w:sz="0" w:space="0" w:color="auto"/>
        <w:right w:val="none" w:sz="0" w:space="0" w:color="auto"/>
      </w:divBdr>
      <w:divsChild>
        <w:div w:id="1156653188">
          <w:marLeft w:val="0"/>
          <w:marRight w:val="0"/>
          <w:marTop w:val="0"/>
          <w:marBottom w:val="300"/>
          <w:divBdr>
            <w:top w:val="none" w:sz="0" w:space="0" w:color="auto"/>
            <w:left w:val="none" w:sz="0" w:space="0" w:color="auto"/>
            <w:bottom w:val="none" w:sz="0" w:space="0" w:color="auto"/>
            <w:right w:val="none" w:sz="0" w:space="0" w:color="auto"/>
          </w:divBdr>
          <w:divsChild>
            <w:div w:id="1992060564">
              <w:marLeft w:val="-225"/>
              <w:marRight w:val="-225"/>
              <w:marTop w:val="0"/>
              <w:marBottom w:val="0"/>
              <w:divBdr>
                <w:top w:val="none" w:sz="0" w:space="0" w:color="auto"/>
                <w:left w:val="none" w:sz="0" w:space="0" w:color="auto"/>
                <w:bottom w:val="none" w:sz="0" w:space="0" w:color="auto"/>
                <w:right w:val="none" w:sz="0" w:space="0" w:color="auto"/>
              </w:divBdr>
              <w:divsChild>
                <w:div w:id="16230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57430">
          <w:marLeft w:val="0"/>
          <w:marRight w:val="0"/>
          <w:marTop w:val="0"/>
          <w:marBottom w:val="0"/>
          <w:divBdr>
            <w:top w:val="none" w:sz="0" w:space="0" w:color="auto"/>
            <w:left w:val="none" w:sz="0" w:space="0" w:color="auto"/>
            <w:bottom w:val="none" w:sz="0" w:space="0" w:color="auto"/>
            <w:right w:val="none" w:sz="0" w:space="0" w:color="auto"/>
          </w:divBdr>
        </w:div>
      </w:divsChild>
    </w:div>
    <w:div w:id="868641443">
      <w:bodyDiv w:val="1"/>
      <w:marLeft w:val="0"/>
      <w:marRight w:val="0"/>
      <w:marTop w:val="0"/>
      <w:marBottom w:val="0"/>
      <w:divBdr>
        <w:top w:val="none" w:sz="0" w:space="0" w:color="auto"/>
        <w:left w:val="none" w:sz="0" w:space="0" w:color="auto"/>
        <w:bottom w:val="none" w:sz="0" w:space="0" w:color="auto"/>
        <w:right w:val="none" w:sz="0" w:space="0" w:color="auto"/>
      </w:divBdr>
    </w:div>
    <w:div w:id="894242844">
      <w:bodyDiv w:val="1"/>
      <w:marLeft w:val="0"/>
      <w:marRight w:val="0"/>
      <w:marTop w:val="0"/>
      <w:marBottom w:val="0"/>
      <w:divBdr>
        <w:top w:val="none" w:sz="0" w:space="0" w:color="auto"/>
        <w:left w:val="none" w:sz="0" w:space="0" w:color="auto"/>
        <w:bottom w:val="none" w:sz="0" w:space="0" w:color="auto"/>
        <w:right w:val="none" w:sz="0" w:space="0" w:color="auto"/>
      </w:divBdr>
    </w:div>
    <w:div w:id="1011493990">
      <w:bodyDiv w:val="1"/>
      <w:marLeft w:val="0"/>
      <w:marRight w:val="0"/>
      <w:marTop w:val="0"/>
      <w:marBottom w:val="0"/>
      <w:divBdr>
        <w:top w:val="none" w:sz="0" w:space="0" w:color="auto"/>
        <w:left w:val="none" w:sz="0" w:space="0" w:color="auto"/>
        <w:bottom w:val="none" w:sz="0" w:space="0" w:color="auto"/>
        <w:right w:val="none" w:sz="0" w:space="0" w:color="auto"/>
      </w:divBdr>
    </w:div>
    <w:div w:id="1017737794">
      <w:bodyDiv w:val="1"/>
      <w:marLeft w:val="0"/>
      <w:marRight w:val="0"/>
      <w:marTop w:val="0"/>
      <w:marBottom w:val="0"/>
      <w:divBdr>
        <w:top w:val="none" w:sz="0" w:space="0" w:color="auto"/>
        <w:left w:val="none" w:sz="0" w:space="0" w:color="auto"/>
        <w:bottom w:val="none" w:sz="0" w:space="0" w:color="auto"/>
        <w:right w:val="none" w:sz="0" w:space="0" w:color="auto"/>
      </w:divBdr>
    </w:div>
    <w:div w:id="1405298563">
      <w:bodyDiv w:val="1"/>
      <w:marLeft w:val="0"/>
      <w:marRight w:val="0"/>
      <w:marTop w:val="0"/>
      <w:marBottom w:val="0"/>
      <w:divBdr>
        <w:top w:val="none" w:sz="0" w:space="0" w:color="auto"/>
        <w:left w:val="none" w:sz="0" w:space="0" w:color="auto"/>
        <w:bottom w:val="none" w:sz="0" w:space="0" w:color="auto"/>
        <w:right w:val="none" w:sz="0" w:space="0" w:color="auto"/>
      </w:divBdr>
    </w:div>
    <w:div w:id="1509517203">
      <w:bodyDiv w:val="1"/>
      <w:marLeft w:val="0"/>
      <w:marRight w:val="0"/>
      <w:marTop w:val="0"/>
      <w:marBottom w:val="0"/>
      <w:divBdr>
        <w:top w:val="none" w:sz="0" w:space="0" w:color="auto"/>
        <w:left w:val="none" w:sz="0" w:space="0" w:color="auto"/>
        <w:bottom w:val="none" w:sz="0" w:space="0" w:color="auto"/>
        <w:right w:val="none" w:sz="0" w:space="0" w:color="auto"/>
      </w:divBdr>
    </w:div>
    <w:div w:id="1883593504">
      <w:bodyDiv w:val="1"/>
      <w:marLeft w:val="0"/>
      <w:marRight w:val="0"/>
      <w:marTop w:val="0"/>
      <w:marBottom w:val="0"/>
      <w:divBdr>
        <w:top w:val="none" w:sz="0" w:space="0" w:color="auto"/>
        <w:left w:val="none" w:sz="0" w:space="0" w:color="auto"/>
        <w:bottom w:val="none" w:sz="0" w:space="0" w:color="auto"/>
        <w:right w:val="none" w:sz="0" w:space="0" w:color="auto"/>
      </w:divBdr>
    </w:div>
    <w:div w:id="2004773939">
      <w:bodyDiv w:val="1"/>
      <w:marLeft w:val="0"/>
      <w:marRight w:val="0"/>
      <w:marTop w:val="0"/>
      <w:marBottom w:val="0"/>
      <w:divBdr>
        <w:top w:val="none" w:sz="0" w:space="0" w:color="auto"/>
        <w:left w:val="none" w:sz="0" w:space="0" w:color="auto"/>
        <w:bottom w:val="none" w:sz="0" w:space="0" w:color="auto"/>
        <w:right w:val="none" w:sz="0" w:space="0" w:color="auto"/>
      </w:divBdr>
    </w:div>
    <w:div w:id="2072994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cei.noaa.gov/news/national-climate-202106" TargetMode="External"/><Relationship Id="rId13" Type="http://schemas.openxmlformats.org/officeDocument/2006/relationships/hyperlink" Target="https://cpo.noaa.gov/Funding-Opportunities/FY2020-Recipients/Understanding-the-Causes-and-Mechanisms-of-Extreme-Climate-Events" TargetMode="External"/><Relationship Id="rId18" Type="http://schemas.openxmlformats.org/officeDocument/2006/relationships/hyperlink" Target="https://doi.org/10.1016/J.WACE.2017.11.001"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doi.org/10.1175/BAMS-D-19-0224.1" TargetMode="External"/><Relationship Id="rId17" Type="http://schemas.openxmlformats.org/officeDocument/2006/relationships/hyperlink" Target="https://doi.org/10.1007/s10584-005-6778-2" TargetMode="External"/><Relationship Id="rId2" Type="http://schemas.openxmlformats.org/officeDocument/2006/relationships/numbering" Target="numbering.xml"/><Relationship Id="rId16" Type="http://schemas.openxmlformats.org/officeDocument/2006/relationships/hyperlink" Target="https://doi.org/10.1016/j.wace.2015.06.004"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5/JCLI-D-19-0344.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8/ngeo2253" TargetMode="External"/><Relationship Id="rId23" Type="http://schemas.openxmlformats.org/officeDocument/2006/relationships/fontTable" Target="fontTable.xml"/><Relationship Id="rId10" Type="http://schemas.openxmlformats.org/officeDocument/2006/relationships/hyperlink" Target="https://doi.org/10.1007/s00382-014-2408-x" TargetMode="External"/><Relationship Id="rId19" Type="http://schemas.openxmlformats.org/officeDocument/2006/relationships/hyperlink" Target="https://doi.org/10.1038/s41561-020-0576-3" TargetMode="External"/><Relationship Id="rId4" Type="http://schemas.openxmlformats.org/officeDocument/2006/relationships/settings" Target="settings.xml"/><Relationship Id="rId9" Type="http://schemas.openxmlformats.org/officeDocument/2006/relationships/hyperlink" Target="https://doi.org/10.1175/JCLI-D-12-00169.1" TargetMode="External"/><Relationship Id="rId14" Type="http://schemas.openxmlformats.org/officeDocument/2006/relationships/hyperlink" Target="https://www.ncei.noaa.gov/news/national-climate-202106"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4BFB4-3B5D-4F23-B817-8DAF3101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18</Pages>
  <Words>4087</Words>
  <Characters>23296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Lowder</dc:creator>
  <cp:lastModifiedBy>Stephanie Herring</cp:lastModifiedBy>
  <cp:revision>5</cp:revision>
  <cp:lastPrinted>2021-06-25T15:19:00Z</cp:lastPrinted>
  <dcterms:created xsi:type="dcterms:W3CDTF">2021-11-05T19:55:00Z</dcterms:created>
  <dcterms:modified xsi:type="dcterms:W3CDTF">2021-11-08T16:15:00Z</dcterms:modified>
</cp:coreProperties>
</file>